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2737" w14:textId="63EA37FD" w:rsidR="00D2015D" w:rsidRPr="00DE4072" w:rsidRDefault="00DE4072">
      <w:pPr>
        <w:rPr>
          <w:rFonts w:ascii="Calibri" w:hAnsi="Calibri" w:cs="Calibri"/>
          <w:sz w:val="16"/>
          <w:szCs w:val="16"/>
          <w:lang w:val="en-US"/>
        </w:rPr>
      </w:pPr>
      <w:r w:rsidRPr="00DE4072">
        <w:rPr>
          <w:rFonts w:ascii="Calibri" w:hAnsi="Calibri" w:cs="Calibri"/>
          <w:b/>
          <w:bCs/>
          <w:sz w:val="16"/>
          <w:szCs w:val="16"/>
          <w:lang w:val="en-US"/>
        </w:rPr>
        <w:t>Table 1</w:t>
      </w:r>
      <w:r w:rsidRPr="00DE4072">
        <w:rPr>
          <w:rFonts w:ascii="Calibri" w:hAnsi="Calibri" w:cs="Calibri"/>
          <w:sz w:val="16"/>
          <w:szCs w:val="16"/>
          <w:lang w:val="en-US"/>
        </w:rPr>
        <w:t xml:space="preserve"> Nominal and actual phen contents, structural parameters, specific surface areas, and optical band gap values of the organoceria nanostructured hybrid materials and the phen-free CeO</w:t>
      </w:r>
      <w:r w:rsidRPr="00DE4072">
        <w:rPr>
          <w:rFonts w:ascii="Calibri" w:hAnsi="Calibri" w:cs="Calibri"/>
          <w:sz w:val="16"/>
          <w:szCs w:val="16"/>
          <w:vertAlign w:val="subscript"/>
          <w:lang w:val="en-US"/>
        </w:rPr>
        <w:t>2</w:t>
      </w:r>
      <w:r w:rsidRPr="00DE4072">
        <w:rPr>
          <w:rFonts w:ascii="Calibri" w:hAnsi="Calibri" w:cs="Calibri"/>
          <w:sz w:val="16"/>
          <w:szCs w:val="16"/>
          <w:lang w:val="en-US"/>
        </w:rPr>
        <w:t xml:space="preserve"> NCs control sample.</w:t>
      </w:r>
    </w:p>
    <w:tbl>
      <w:tblPr>
        <w:tblStyle w:val="Tablaconcuadrcula"/>
        <w:tblW w:w="87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
        <w:gridCol w:w="1343"/>
        <w:gridCol w:w="1206"/>
        <w:gridCol w:w="1043"/>
        <w:gridCol w:w="1051"/>
        <w:gridCol w:w="1098"/>
        <w:gridCol w:w="1152"/>
        <w:gridCol w:w="800"/>
      </w:tblGrid>
      <w:tr w:rsidR="00DE4072" w:rsidRPr="00A22A78" w14:paraId="3FFD5393" w14:textId="77777777" w:rsidTr="000047B0">
        <w:trPr>
          <w:trHeight w:val="230"/>
          <w:jc w:val="center"/>
        </w:trPr>
        <w:tc>
          <w:tcPr>
            <w:tcW w:w="1061" w:type="dxa"/>
            <w:tcBorders>
              <w:top w:val="single" w:sz="4" w:space="0" w:color="auto"/>
              <w:bottom w:val="single" w:sz="4" w:space="0" w:color="auto"/>
            </w:tcBorders>
            <w:vAlign w:val="center"/>
          </w:tcPr>
          <w:p w14:paraId="1FDF015C"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Sample</w:t>
            </w:r>
          </w:p>
        </w:tc>
        <w:tc>
          <w:tcPr>
            <w:tcW w:w="1343" w:type="dxa"/>
            <w:tcBorders>
              <w:top w:val="single" w:sz="4" w:space="0" w:color="auto"/>
              <w:bottom w:val="single" w:sz="4" w:space="0" w:color="auto"/>
            </w:tcBorders>
            <w:vAlign w:val="center"/>
          </w:tcPr>
          <w:p w14:paraId="4943EB22" w14:textId="77777777" w:rsidR="00DE4072"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Nominal phen</w:t>
            </w:r>
          </w:p>
          <w:p w14:paraId="4DA0407B"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content / wt.%</w:t>
            </w:r>
          </w:p>
        </w:tc>
        <w:tc>
          <w:tcPr>
            <w:tcW w:w="1206" w:type="dxa"/>
            <w:tcBorders>
              <w:top w:val="single" w:sz="4" w:space="0" w:color="auto"/>
              <w:bottom w:val="single" w:sz="4" w:space="0" w:color="auto"/>
            </w:tcBorders>
            <w:vAlign w:val="center"/>
          </w:tcPr>
          <w:p w14:paraId="17D69351"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p</w:t>
            </w:r>
            <w:r w:rsidRPr="00A22A78">
              <w:rPr>
                <w:rFonts w:ascii="Calibri" w:hAnsi="Calibri" w:cs="Calibri"/>
                <w:sz w:val="16"/>
                <w:szCs w:val="16"/>
              </w:rPr>
              <w:t>hen</w:t>
            </w:r>
            <w:r w:rsidRPr="00A22A78">
              <w:rPr>
                <w:rFonts w:ascii="Calibri" w:hAnsi="Calibri" w:cs="Calibri"/>
                <w:iCs/>
                <w:sz w:val="16"/>
                <w:szCs w:val="16"/>
                <w:vertAlign w:val="superscript"/>
              </w:rPr>
              <w:t>a</w:t>
            </w:r>
            <w:r w:rsidRPr="00A22A78">
              <w:rPr>
                <w:rFonts w:ascii="Calibri" w:hAnsi="Calibri" w:cs="Calibri"/>
                <w:sz w:val="16"/>
                <w:szCs w:val="16"/>
              </w:rPr>
              <w:t xml:space="preserve"> / wt.%</w:t>
            </w:r>
          </w:p>
        </w:tc>
        <w:tc>
          <w:tcPr>
            <w:tcW w:w="1043" w:type="dxa"/>
            <w:tcBorders>
              <w:top w:val="single" w:sz="4" w:space="0" w:color="auto"/>
              <w:bottom w:val="single" w:sz="4" w:space="0" w:color="auto"/>
            </w:tcBorders>
            <w:vAlign w:val="center"/>
          </w:tcPr>
          <w:p w14:paraId="1DDE3BBB"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i/>
                <w:iCs/>
                <w:sz w:val="16"/>
                <w:szCs w:val="16"/>
              </w:rPr>
              <w:t>D</w:t>
            </w:r>
            <w:r>
              <w:rPr>
                <w:rFonts w:ascii="Calibri" w:hAnsi="Calibri" w:cs="Calibri"/>
                <w:iCs/>
                <w:sz w:val="16"/>
                <w:szCs w:val="16"/>
                <w:vertAlign w:val="superscript"/>
              </w:rPr>
              <w:t>b</w:t>
            </w:r>
            <w:r w:rsidRPr="00A22A78">
              <w:rPr>
                <w:rFonts w:ascii="Calibri" w:hAnsi="Calibri" w:cs="Calibri"/>
                <w:sz w:val="16"/>
                <w:szCs w:val="16"/>
              </w:rPr>
              <w:t xml:space="preserve"> / nm</w:t>
            </w:r>
          </w:p>
        </w:tc>
        <w:tc>
          <w:tcPr>
            <w:tcW w:w="1051" w:type="dxa"/>
            <w:tcBorders>
              <w:top w:val="single" w:sz="4" w:space="0" w:color="auto"/>
              <w:bottom w:val="single" w:sz="4" w:space="0" w:color="auto"/>
            </w:tcBorders>
            <w:vAlign w:val="center"/>
          </w:tcPr>
          <w:p w14:paraId="71A63C56"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i/>
                <w:iCs/>
                <w:sz w:val="16"/>
                <w:szCs w:val="16"/>
              </w:rPr>
              <w:t>D</w:t>
            </w:r>
            <w:r>
              <w:rPr>
                <w:rFonts w:ascii="Calibri" w:hAnsi="Calibri" w:cs="Calibri"/>
                <w:iCs/>
                <w:sz w:val="16"/>
                <w:szCs w:val="16"/>
                <w:vertAlign w:val="superscript"/>
              </w:rPr>
              <w:t>c</w:t>
            </w:r>
            <w:r w:rsidRPr="00A22A78">
              <w:rPr>
                <w:rFonts w:ascii="Calibri" w:hAnsi="Calibri" w:cs="Calibri"/>
                <w:sz w:val="16"/>
                <w:szCs w:val="16"/>
              </w:rPr>
              <w:t xml:space="preserve"> / nm</w:t>
            </w:r>
          </w:p>
        </w:tc>
        <w:tc>
          <w:tcPr>
            <w:tcW w:w="1098" w:type="dxa"/>
            <w:tcBorders>
              <w:top w:val="single" w:sz="4" w:space="0" w:color="auto"/>
              <w:bottom w:val="single" w:sz="4" w:space="0" w:color="auto"/>
            </w:tcBorders>
            <w:vAlign w:val="center"/>
          </w:tcPr>
          <w:p w14:paraId="1165B36B"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i/>
                <w:iCs/>
                <w:sz w:val="16"/>
                <w:szCs w:val="16"/>
              </w:rPr>
              <w:t>d</w:t>
            </w:r>
            <w:r w:rsidRPr="00A22A78">
              <w:rPr>
                <w:rFonts w:ascii="Calibri" w:hAnsi="Calibri" w:cs="Calibri"/>
                <w:sz w:val="16"/>
                <w:szCs w:val="16"/>
                <w:vertAlign w:val="subscript"/>
              </w:rPr>
              <w:t>(111)</w:t>
            </w:r>
            <w:r>
              <w:rPr>
                <w:rFonts w:ascii="Calibri" w:hAnsi="Calibri" w:cs="Calibri"/>
                <w:iCs/>
                <w:sz w:val="16"/>
                <w:szCs w:val="16"/>
                <w:vertAlign w:val="superscript"/>
              </w:rPr>
              <w:t>d</w:t>
            </w:r>
            <w:r w:rsidRPr="00A22A78">
              <w:rPr>
                <w:rFonts w:ascii="Calibri" w:hAnsi="Calibri" w:cs="Calibri"/>
                <w:sz w:val="16"/>
                <w:szCs w:val="16"/>
              </w:rPr>
              <w:t xml:space="preserve"> / </w:t>
            </w:r>
            <w:r>
              <w:rPr>
                <w:rFonts w:ascii="Calibri" w:hAnsi="Calibri" w:cs="Calibri"/>
                <w:sz w:val="16"/>
                <w:szCs w:val="16"/>
              </w:rPr>
              <w:t>nm</w:t>
            </w:r>
          </w:p>
        </w:tc>
        <w:tc>
          <w:tcPr>
            <w:tcW w:w="1152" w:type="dxa"/>
            <w:tcBorders>
              <w:top w:val="single" w:sz="4" w:space="0" w:color="auto"/>
              <w:bottom w:val="single" w:sz="4" w:space="0" w:color="auto"/>
            </w:tcBorders>
            <w:vAlign w:val="center"/>
          </w:tcPr>
          <w:p w14:paraId="05A0D33C" w14:textId="77777777" w:rsidR="00DE4072" w:rsidRPr="00A22A78" w:rsidRDefault="00DE4072" w:rsidP="000047B0">
            <w:pPr>
              <w:pStyle w:val="RSCB02ArticleText"/>
              <w:spacing w:line="240" w:lineRule="auto"/>
              <w:jc w:val="left"/>
              <w:rPr>
                <w:rFonts w:ascii="Calibri" w:hAnsi="Calibri" w:cs="Calibri"/>
                <w:i/>
                <w:iCs/>
                <w:sz w:val="16"/>
                <w:szCs w:val="16"/>
              </w:rPr>
            </w:pPr>
            <w:r w:rsidRPr="00A22A78">
              <w:rPr>
                <w:rFonts w:ascii="Calibri" w:hAnsi="Calibri" w:cs="Calibri"/>
                <w:i/>
                <w:iCs/>
                <w:sz w:val="16"/>
                <w:szCs w:val="16"/>
              </w:rPr>
              <w:t>S</w:t>
            </w:r>
            <w:r w:rsidRPr="00A22A78">
              <w:rPr>
                <w:rFonts w:ascii="Calibri" w:hAnsi="Calibri" w:cs="Calibri"/>
                <w:sz w:val="16"/>
                <w:szCs w:val="16"/>
                <w:vertAlign w:val="subscript"/>
              </w:rPr>
              <w:t>BET</w:t>
            </w:r>
            <w:r>
              <w:rPr>
                <w:rFonts w:ascii="Calibri" w:hAnsi="Calibri" w:cs="Calibri"/>
                <w:iCs/>
                <w:sz w:val="16"/>
                <w:szCs w:val="16"/>
                <w:vertAlign w:val="superscript"/>
              </w:rPr>
              <w:t>e</w:t>
            </w:r>
            <w:r w:rsidRPr="00A22A78">
              <w:rPr>
                <w:rFonts w:ascii="Calibri" w:hAnsi="Calibri" w:cs="Calibri"/>
                <w:sz w:val="16"/>
                <w:szCs w:val="16"/>
              </w:rPr>
              <w:t xml:space="preserve"> /m</w:t>
            </w:r>
            <w:r w:rsidRPr="00A22A78">
              <w:rPr>
                <w:rFonts w:ascii="Calibri" w:hAnsi="Calibri" w:cs="Calibri"/>
                <w:sz w:val="16"/>
                <w:szCs w:val="16"/>
                <w:vertAlign w:val="superscript"/>
              </w:rPr>
              <w:t>2</w:t>
            </w:r>
            <w:r w:rsidRPr="00A22A78">
              <w:rPr>
                <w:rFonts w:ascii="Calibri" w:hAnsi="Calibri" w:cs="Calibri"/>
                <w:sz w:val="16"/>
                <w:szCs w:val="16"/>
              </w:rPr>
              <w:t>·g</w:t>
            </w:r>
            <w:r w:rsidRPr="00A22A78">
              <w:rPr>
                <w:rFonts w:ascii="Calibri" w:hAnsi="Calibri" w:cs="Calibri"/>
                <w:sz w:val="16"/>
                <w:szCs w:val="16"/>
                <w:vertAlign w:val="superscript"/>
              </w:rPr>
              <w:t>-1</w:t>
            </w:r>
          </w:p>
        </w:tc>
        <w:tc>
          <w:tcPr>
            <w:tcW w:w="800" w:type="dxa"/>
            <w:tcBorders>
              <w:top w:val="single" w:sz="4" w:space="0" w:color="auto"/>
              <w:bottom w:val="single" w:sz="4" w:space="0" w:color="auto"/>
            </w:tcBorders>
            <w:vAlign w:val="center"/>
          </w:tcPr>
          <w:p w14:paraId="05D46397"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i/>
                <w:iCs/>
                <w:sz w:val="16"/>
                <w:szCs w:val="16"/>
              </w:rPr>
              <w:t>E</w:t>
            </w:r>
            <w:r w:rsidRPr="00A22A78">
              <w:rPr>
                <w:rFonts w:ascii="Calibri" w:hAnsi="Calibri" w:cs="Calibri"/>
                <w:sz w:val="16"/>
                <w:szCs w:val="16"/>
                <w:vertAlign w:val="subscript"/>
              </w:rPr>
              <w:t>g</w:t>
            </w:r>
            <w:r w:rsidRPr="00A22A78">
              <w:rPr>
                <w:rFonts w:ascii="Calibri" w:hAnsi="Calibri" w:cs="Calibri"/>
                <w:iCs/>
                <w:sz w:val="16"/>
                <w:szCs w:val="16"/>
                <w:vertAlign w:val="superscript"/>
              </w:rPr>
              <w:t>f</w:t>
            </w:r>
            <w:r w:rsidRPr="00A22A78">
              <w:rPr>
                <w:rFonts w:ascii="Calibri" w:hAnsi="Calibri" w:cs="Calibri"/>
                <w:sz w:val="16"/>
                <w:szCs w:val="16"/>
              </w:rPr>
              <w:t xml:space="preserve"> / eV</w:t>
            </w:r>
          </w:p>
        </w:tc>
      </w:tr>
      <w:tr w:rsidR="00DE4072" w:rsidRPr="00A22A78" w14:paraId="48459405" w14:textId="77777777" w:rsidTr="000047B0">
        <w:trPr>
          <w:trHeight w:val="230"/>
          <w:jc w:val="center"/>
        </w:trPr>
        <w:tc>
          <w:tcPr>
            <w:tcW w:w="1061" w:type="dxa"/>
            <w:tcBorders>
              <w:top w:val="single" w:sz="4" w:space="0" w:color="auto"/>
            </w:tcBorders>
            <w:vAlign w:val="center"/>
          </w:tcPr>
          <w:p w14:paraId="747BFF52"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CeO</w:t>
            </w:r>
            <w:r w:rsidRPr="00A22A78">
              <w:rPr>
                <w:rFonts w:ascii="Calibri" w:hAnsi="Calibri" w:cs="Calibri"/>
                <w:sz w:val="16"/>
                <w:szCs w:val="16"/>
                <w:vertAlign w:val="subscript"/>
              </w:rPr>
              <w:t>2</w:t>
            </w:r>
            <w:r w:rsidRPr="00A22A78">
              <w:rPr>
                <w:rFonts w:ascii="Calibri" w:hAnsi="Calibri" w:cs="Calibri"/>
                <w:sz w:val="16"/>
                <w:szCs w:val="16"/>
              </w:rPr>
              <w:t xml:space="preserve"> NCs</w:t>
            </w:r>
          </w:p>
        </w:tc>
        <w:tc>
          <w:tcPr>
            <w:tcW w:w="1343" w:type="dxa"/>
            <w:tcBorders>
              <w:top w:val="single" w:sz="4" w:space="0" w:color="auto"/>
            </w:tcBorders>
            <w:vAlign w:val="center"/>
          </w:tcPr>
          <w:p w14:paraId="53FEF396"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206" w:type="dxa"/>
            <w:tcBorders>
              <w:top w:val="single" w:sz="4" w:space="0" w:color="auto"/>
            </w:tcBorders>
            <w:vAlign w:val="center"/>
          </w:tcPr>
          <w:p w14:paraId="76D392A3"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w:t>
            </w:r>
          </w:p>
        </w:tc>
        <w:tc>
          <w:tcPr>
            <w:tcW w:w="1043" w:type="dxa"/>
            <w:tcBorders>
              <w:top w:val="single" w:sz="4" w:space="0" w:color="auto"/>
            </w:tcBorders>
            <w:vAlign w:val="center"/>
          </w:tcPr>
          <w:p w14:paraId="2DAD6C8E"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46.5</w:t>
            </w:r>
          </w:p>
        </w:tc>
        <w:tc>
          <w:tcPr>
            <w:tcW w:w="1051" w:type="dxa"/>
            <w:tcBorders>
              <w:top w:val="single" w:sz="4" w:space="0" w:color="auto"/>
            </w:tcBorders>
            <w:vAlign w:val="center"/>
          </w:tcPr>
          <w:p w14:paraId="712A4871"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47.0</w:t>
            </w:r>
          </w:p>
        </w:tc>
        <w:tc>
          <w:tcPr>
            <w:tcW w:w="1098" w:type="dxa"/>
            <w:tcBorders>
              <w:top w:val="single" w:sz="4" w:space="0" w:color="auto"/>
            </w:tcBorders>
            <w:vAlign w:val="center"/>
          </w:tcPr>
          <w:p w14:paraId="7E2A147A"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0.</w:t>
            </w:r>
            <w:r w:rsidRPr="00A22A78">
              <w:rPr>
                <w:rFonts w:ascii="Calibri" w:hAnsi="Calibri" w:cs="Calibri"/>
                <w:sz w:val="16"/>
                <w:szCs w:val="16"/>
              </w:rPr>
              <w:t>3</w:t>
            </w:r>
            <w:r>
              <w:rPr>
                <w:rFonts w:ascii="Calibri" w:hAnsi="Calibri" w:cs="Calibri"/>
                <w:sz w:val="16"/>
                <w:szCs w:val="16"/>
              </w:rPr>
              <w:t>1</w:t>
            </w:r>
          </w:p>
        </w:tc>
        <w:tc>
          <w:tcPr>
            <w:tcW w:w="1152" w:type="dxa"/>
            <w:tcBorders>
              <w:top w:val="single" w:sz="4" w:space="0" w:color="auto"/>
            </w:tcBorders>
            <w:vAlign w:val="center"/>
          </w:tcPr>
          <w:p w14:paraId="2F608F39"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20.5</w:t>
            </w:r>
          </w:p>
        </w:tc>
        <w:tc>
          <w:tcPr>
            <w:tcW w:w="800" w:type="dxa"/>
            <w:tcBorders>
              <w:top w:val="single" w:sz="4" w:space="0" w:color="auto"/>
            </w:tcBorders>
            <w:vAlign w:val="center"/>
          </w:tcPr>
          <w:p w14:paraId="26633DC6"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3.23</w:t>
            </w:r>
          </w:p>
        </w:tc>
      </w:tr>
      <w:tr w:rsidR="00DE4072" w:rsidRPr="00A22A78" w14:paraId="0E8E999A" w14:textId="77777777" w:rsidTr="000047B0">
        <w:trPr>
          <w:trHeight w:val="230"/>
          <w:jc w:val="center"/>
        </w:trPr>
        <w:tc>
          <w:tcPr>
            <w:tcW w:w="1061" w:type="dxa"/>
            <w:vAlign w:val="center"/>
          </w:tcPr>
          <w:p w14:paraId="304C5B69" w14:textId="77777777" w:rsidR="00DE4072"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CeO</w:t>
            </w:r>
            <w:r w:rsidRPr="00A22A78">
              <w:rPr>
                <w:rFonts w:ascii="Calibri" w:hAnsi="Calibri" w:cs="Calibri"/>
                <w:sz w:val="16"/>
                <w:szCs w:val="16"/>
                <w:vertAlign w:val="subscript"/>
              </w:rPr>
              <w:t>2</w:t>
            </w:r>
            <w:r w:rsidRPr="00A22A78">
              <w:rPr>
                <w:rFonts w:ascii="Calibri" w:hAnsi="Calibri" w:cs="Calibri"/>
                <w:sz w:val="16"/>
                <w:szCs w:val="16"/>
              </w:rPr>
              <w:t xml:space="preserve"> NCs</w:t>
            </w:r>
            <w:r>
              <w:rPr>
                <w:rFonts w:ascii="Calibri" w:hAnsi="Calibri" w:cs="Calibri"/>
                <w:sz w:val="16"/>
                <w:szCs w:val="16"/>
              </w:rPr>
              <w:t>_</w:t>
            </w:r>
          </w:p>
          <w:p w14:paraId="7C5B8B94"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Phen-0.04</w:t>
            </w:r>
          </w:p>
        </w:tc>
        <w:tc>
          <w:tcPr>
            <w:tcW w:w="1343" w:type="dxa"/>
            <w:vAlign w:val="center"/>
          </w:tcPr>
          <w:p w14:paraId="5F06B50F"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4.2</w:t>
            </w:r>
          </w:p>
        </w:tc>
        <w:tc>
          <w:tcPr>
            <w:tcW w:w="1206" w:type="dxa"/>
            <w:vAlign w:val="center"/>
          </w:tcPr>
          <w:p w14:paraId="1F5CE9E0"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0.9</w:t>
            </w:r>
          </w:p>
        </w:tc>
        <w:tc>
          <w:tcPr>
            <w:tcW w:w="1043" w:type="dxa"/>
            <w:vAlign w:val="center"/>
          </w:tcPr>
          <w:p w14:paraId="4A84FFA8"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38.7</w:t>
            </w:r>
          </w:p>
        </w:tc>
        <w:tc>
          <w:tcPr>
            <w:tcW w:w="1051" w:type="dxa"/>
            <w:vAlign w:val="center"/>
          </w:tcPr>
          <w:p w14:paraId="6B509C3B"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40.3</w:t>
            </w:r>
          </w:p>
        </w:tc>
        <w:tc>
          <w:tcPr>
            <w:tcW w:w="1098" w:type="dxa"/>
            <w:vAlign w:val="center"/>
          </w:tcPr>
          <w:p w14:paraId="0E867939" w14:textId="77777777" w:rsidR="00DE4072" w:rsidRPr="00A22A78" w:rsidRDefault="00DE4072" w:rsidP="000047B0">
            <w:pPr>
              <w:pStyle w:val="RSCB02ArticleText"/>
              <w:spacing w:line="240" w:lineRule="auto"/>
              <w:jc w:val="left"/>
              <w:rPr>
                <w:rFonts w:ascii="Calibri" w:hAnsi="Calibri" w:cs="Calibri"/>
                <w:sz w:val="16"/>
                <w:szCs w:val="16"/>
              </w:rPr>
            </w:pPr>
            <w:r w:rsidRPr="00882D33">
              <w:rPr>
                <w:rFonts w:ascii="Calibri" w:hAnsi="Calibri" w:cs="Calibri"/>
                <w:sz w:val="16"/>
                <w:szCs w:val="16"/>
              </w:rPr>
              <w:t>0.31</w:t>
            </w:r>
          </w:p>
        </w:tc>
        <w:tc>
          <w:tcPr>
            <w:tcW w:w="1152" w:type="dxa"/>
            <w:vAlign w:val="center"/>
          </w:tcPr>
          <w:p w14:paraId="57E547DD"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27.8</w:t>
            </w:r>
          </w:p>
        </w:tc>
        <w:tc>
          <w:tcPr>
            <w:tcW w:w="800" w:type="dxa"/>
            <w:vAlign w:val="center"/>
          </w:tcPr>
          <w:p w14:paraId="1202C00E"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3.17</w:t>
            </w:r>
          </w:p>
        </w:tc>
      </w:tr>
      <w:tr w:rsidR="00DE4072" w:rsidRPr="00A22A78" w14:paraId="2EEE20F8" w14:textId="77777777" w:rsidTr="000047B0">
        <w:trPr>
          <w:trHeight w:val="230"/>
          <w:jc w:val="center"/>
        </w:trPr>
        <w:tc>
          <w:tcPr>
            <w:tcW w:w="1061" w:type="dxa"/>
            <w:vAlign w:val="center"/>
          </w:tcPr>
          <w:p w14:paraId="0FA76B7C" w14:textId="77777777" w:rsidR="00DE4072"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CeO</w:t>
            </w:r>
            <w:r w:rsidRPr="00A22A78">
              <w:rPr>
                <w:rFonts w:ascii="Calibri" w:hAnsi="Calibri" w:cs="Calibri"/>
                <w:sz w:val="16"/>
                <w:szCs w:val="16"/>
                <w:vertAlign w:val="subscript"/>
              </w:rPr>
              <w:t>2</w:t>
            </w:r>
            <w:r w:rsidRPr="00A22A78">
              <w:rPr>
                <w:rFonts w:ascii="Calibri" w:hAnsi="Calibri" w:cs="Calibri"/>
                <w:sz w:val="16"/>
                <w:szCs w:val="16"/>
              </w:rPr>
              <w:t xml:space="preserve"> NCs</w:t>
            </w:r>
            <w:r>
              <w:rPr>
                <w:rFonts w:ascii="Calibri" w:hAnsi="Calibri" w:cs="Calibri"/>
                <w:sz w:val="16"/>
                <w:szCs w:val="16"/>
              </w:rPr>
              <w:t>_</w:t>
            </w:r>
          </w:p>
          <w:p w14:paraId="24D332EA"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Phen-0.08</w:t>
            </w:r>
          </w:p>
        </w:tc>
        <w:tc>
          <w:tcPr>
            <w:tcW w:w="1343" w:type="dxa"/>
            <w:vAlign w:val="center"/>
          </w:tcPr>
          <w:p w14:paraId="5554FDB1" w14:textId="77777777" w:rsidR="00DE4072" w:rsidRPr="00A22A78" w:rsidRDefault="00DE4072" w:rsidP="000047B0">
            <w:pPr>
              <w:pStyle w:val="RSCB02ArticleText"/>
              <w:spacing w:line="240" w:lineRule="auto"/>
              <w:jc w:val="left"/>
              <w:rPr>
                <w:rFonts w:ascii="Calibri" w:hAnsi="Calibri" w:cs="Calibri"/>
                <w:sz w:val="16"/>
                <w:szCs w:val="16"/>
              </w:rPr>
            </w:pPr>
            <w:r>
              <w:rPr>
                <w:rFonts w:ascii="Calibri" w:hAnsi="Calibri" w:cs="Calibri"/>
                <w:sz w:val="16"/>
                <w:szCs w:val="16"/>
              </w:rPr>
              <w:t>8.0</w:t>
            </w:r>
          </w:p>
        </w:tc>
        <w:tc>
          <w:tcPr>
            <w:tcW w:w="1206" w:type="dxa"/>
            <w:vAlign w:val="center"/>
          </w:tcPr>
          <w:p w14:paraId="38956277"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1.8</w:t>
            </w:r>
          </w:p>
        </w:tc>
        <w:tc>
          <w:tcPr>
            <w:tcW w:w="1043" w:type="dxa"/>
            <w:vAlign w:val="center"/>
          </w:tcPr>
          <w:p w14:paraId="55EF5009"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25.5</w:t>
            </w:r>
          </w:p>
        </w:tc>
        <w:tc>
          <w:tcPr>
            <w:tcW w:w="1051" w:type="dxa"/>
            <w:vAlign w:val="center"/>
          </w:tcPr>
          <w:p w14:paraId="58DE5D2F"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27.3</w:t>
            </w:r>
          </w:p>
        </w:tc>
        <w:tc>
          <w:tcPr>
            <w:tcW w:w="1098" w:type="dxa"/>
            <w:vAlign w:val="center"/>
          </w:tcPr>
          <w:p w14:paraId="65A9ADD6" w14:textId="77777777" w:rsidR="00DE4072" w:rsidRPr="00A22A78" w:rsidRDefault="00DE4072" w:rsidP="000047B0">
            <w:pPr>
              <w:pStyle w:val="RSCB02ArticleText"/>
              <w:spacing w:line="240" w:lineRule="auto"/>
              <w:jc w:val="left"/>
              <w:rPr>
                <w:rFonts w:ascii="Calibri" w:hAnsi="Calibri" w:cs="Calibri"/>
                <w:sz w:val="16"/>
                <w:szCs w:val="16"/>
              </w:rPr>
            </w:pPr>
            <w:r w:rsidRPr="00882D33">
              <w:rPr>
                <w:rFonts w:ascii="Calibri" w:hAnsi="Calibri" w:cs="Calibri"/>
                <w:sz w:val="16"/>
                <w:szCs w:val="16"/>
              </w:rPr>
              <w:t>0.31</w:t>
            </w:r>
          </w:p>
        </w:tc>
        <w:tc>
          <w:tcPr>
            <w:tcW w:w="1152" w:type="dxa"/>
            <w:vAlign w:val="center"/>
          </w:tcPr>
          <w:p w14:paraId="397EDBCF"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29.5</w:t>
            </w:r>
          </w:p>
        </w:tc>
        <w:tc>
          <w:tcPr>
            <w:tcW w:w="800" w:type="dxa"/>
            <w:vAlign w:val="center"/>
          </w:tcPr>
          <w:p w14:paraId="52C371B5" w14:textId="77777777" w:rsidR="00DE4072" w:rsidRPr="00A22A78" w:rsidRDefault="00DE4072" w:rsidP="000047B0">
            <w:pPr>
              <w:pStyle w:val="RSCB02ArticleText"/>
              <w:spacing w:line="240" w:lineRule="auto"/>
              <w:jc w:val="left"/>
              <w:rPr>
                <w:rFonts w:ascii="Calibri" w:hAnsi="Calibri" w:cs="Calibri"/>
                <w:sz w:val="16"/>
                <w:szCs w:val="16"/>
              </w:rPr>
            </w:pPr>
            <w:r w:rsidRPr="00A22A78">
              <w:rPr>
                <w:rFonts w:ascii="Calibri" w:hAnsi="Calibri" w:cs="Calibri"/>
                <w:sz w:val="16"/>
                <w:szCs w:val="16"/>
              </w:rPr>
              <w:t>3.11</w:t>
            </w:r>
          </w:p>
        </w:tc>
      </w:tr>
    </w:tbl>
    <w:p w14:paraId="2C77EFF2" w14:textId="77777777" w:rsidR="00DE4072" w:rsidRPr="00DE4072" w:rsidRDefault="00DE4072" w:rsidP="00DE4072">
      <w:pPr>
        <w:pStyle w:val="RSCB02ArticleText"/>
        <w:spacing w:before="120" w:line="240" w:lineRule="auto"/>
        <w:rPr>
          <w:rFonts w:ascii="Calibri" w:hAnsi="Calibri" w:cs="Calibri"/>
          <w:w w:val="100"/>
          <w:sz w:val="14"/>
          <w:szCs w:val="14"/>
        </w:rPr>
      </w:pPr>
      <w:r w:rsidRPr="00DE4072">
        <w:rPr>
          <w:rFonts w:ascii="Calibri" w:hAnsi="Calibri" w:cs="Calibri"/>
          <w:w w:val="100"/>
          <w:sz w:val="14"/>
          <w:szCs w:val="14"/>
          <w:vertAlign w:val="superscript"/>
        </w:rPr>
        <w:t>a</w:t>
      </w:r>
      <w:r w:rsidRPr="00DE4072">
        <w:rPr>
          <w:rFonts w:ascii="Calibri" w:hAnsi="Calibri" w:cs="Calibri"/>
          <w:w w:val="100"/>
          <w:sz w:val="14"/>
          <w:szCs w:val="14"/>
        </w:rPr>
        <w:t xml:space="preserve"> Actual phen content from TG analyses.</w:t>
      </w:r>
    </w:p>
    <w:p w14:paraId="09638207" w14:textId="068C2330" w:rsidR="00DE4072" w:rsidRPr="00DE4072" w:rsidRDefault="00DE4072" w:rsidP="00DE4072">
      <w:pPr>
        <w:pStyle w:val="RSCB02ArticleText"/>
        <w:spacing w:before="120" w:line="240" w:lineRule="auto"/>
        <w:rPr>
          <w:rFonts w:ascii="Calibri" w:hAnsi="Calibri" w:cs="Calibri"/>
          <w:w w:val="100"/>
          <w:sz w:val="14"/>
          <w:szCs w:val="14"/>
        </w:rPr>
      </w:pPr>
      <w:r w:rsidRPr="00DE4072">
        <w:rPr>
          <w:rFonts w:ascii="Calibri" w:hAnsi="Calibri" w:cs="Calibri"/>
          <w:w w:val="100"/>
          <w:sz w:val="14"/>
          <w:szCs w:val="14"/>
          <w:vertAlign w:val="superscript"/>
        </w:rPr>
        <w:t>b</w:t>
      </w:r>
      <w:r w:rsidRPr="00DE4072">
        <w:rPr>
          <w:rFonts w:ascii="Calibri" w:hAnsi="Calibri" w:cs="Calibri"/>
          <w:w w:val="100"/>
          <w:sz w:val="14"/>
          <w:szCs w:val="14"/>
        </w:rPr>
        <w:t xml:space="preserve"> Average crystalli</w:t>
      </w:r>
      <w:r w:rsidRPr="00DE4072">
        <w:rPr>
          <w:rFonts w:ascii="Calibri" w:hAnsi="Calibri" w:cs="Calibri"/>
          <w:w w:val="100"/>
          <w:sz w:val="14"/>
          <w:szCs w:val="14"/>
        </w:rPr>
        <w:t>ne domain</w:t>
      </w:r>
      <w:r w:rsidRPr="00DE4072">
        <w:rPr>
          <w:rFonts w:ascii="Calibri" w:hAnsi="Calibri" w:cs="Calibri"/>
          <w:w w:val="100"/>
          <w:sz w:val="14"/>
          <w:szCs w:val="14"/>
        </w:rPr>
        <w:t xml:space="preserve"> size as estimated from PXRD.</w:t>
      </w:r>
    </w:p>
    <w:p w14:paraId="49800200" w14:textId="618FD0B5" w:rsidR="00DE4072" w:rsidRPr="00DE4072" w:rsidRDefault="00DE4072" w:rsidP="00DE4072">
      <w:pPr>
        <w:pStyle w:val="RSCB02ArticleText"/>
        <w:spacing w:before="120" w:line="240" w:lineRule="auto"/>
        <w:rPr>
          <w:rFonts w:ascii="Calibri" w:hAnsi="Calibri" w:cs="Calibri"/>
          <w:w w:val="100"/>
          <w:sz w:val="14"/>
          <w:szCs w:val="14"/>
        </w:rPr>
      </w:pPr>
      <w:r>
        <w:rPr>
          <w:rFonts w:ascii="Calibri" w:hAnsi="Calibri" w:cs="Calibri"/>
          <w:w w:val="100"/>
          <w:sz w:val="14"/>
          <w:szCs w:val="14"/>
          <w:vertAlign w:val="superscript"/>
        </w:rPr>
        <w:t>c</w:t>
      </w:r>
      <w:r w:rsidRPr="00DE4072">
        <w:rPr>
          <w:rFonts w:ascii="Calibri" w:hAnsi="Calibri" w:cs="Calibri"/>
          <w:w w:val="100"/>
          <w:sz w:val="14"/>
          <w:szCs w:val="14"/>
        </w:rPr>
        <w:t xml:space="preserve"> Mean particle size as determined from STEM.</w:t>
      </w:r>
    </w:p>
    <w:p w14:paraId="4ED985B7" w14:textId="5F4CF00D" w:rsidR="00DE4072" w:rsidRDefault="00DE4072" w:rsidP="00DE4072">
      <w:pPr>
        <w:pStyle w:val="RSCB02ArticleText"/>
        <w:spacing w:before="120" w:line="240" w:lineRule="auto"/>
        <w:rPr>
          <w:rFonts w:ascii="Calibri" w:hAnsi="Calibri" w:cs="Calibri"/>
          <w:w w:val="100"/>
          <w:sz w:val="14"/>
          <w:szCs w:val="14"/>
        </w:rPr>
      </w:pPr>
      <w:r>
        <w:rPr>
          <w:rFonts w:ascii="Calibri" w:hAnsi="Calibri" w:cs="Calibri"/>
          <w:w w:val="100"/>
          <w:sz w:val="14"/>
          <w:szCs w:val="14"/>
          <w:vertAlign w:val="superscript"/>
        </w:rPr>
        <w:t>d</w:t>
      </w:r>
      <w:r w:rsidRPr="00DE4072">
        <w:rPr>
          <w:rFonts w:ascii="Calibri" w:hAnsi="Calibri" w:cs="Calibri"/>
          <w:w w:val="100"/>
          <w:sz w:val="14"/>
          <w:szCs w:val="14"/>
        </w:rPr>
        <w:t xml:space="preserve"> Ceria lattice spacing from PXRD.</w:t>
      </w:r>
    </w:p>
    <w:p w14:paraId="3480D046" w14:textId="510E3E0A" w:rsidR="00DE4072" w:rsidRPr="00033BCB" w:rsidRDefault="00DE4072" w:rsidP="00DE4072">
      <w:pPr>
        <w:pStyle w:val="RSCB02ArticleText"/>
        <w:spacing w:before="120" w:line="240" w:lineRule="auto"/>
        <w:rPr>
          <w:rFonts w:ascii="Calibri" w:hAnsi="Calibri" w:cs="Calibri"/>
          <w:w w:val="100"/>
          <w:sz w:val="14"/>
          <w:szCs w:val="14"/>
        </w:rPr>
      </w:pPr>
      <w:r w:rsidRPr="00DE4072">
        <w:rPr>
          <w:rFonts w:ascii="Calibri" w:hAnsi="Calibri" w:cs="Calibri"/>
          <w:w w:val="100"/>
          <w:sz w:val="14"/>
          <w:szCs w:val="14"/>
          <w:vertAlign w:val="superscript"/>
        </w:rPr>
        <w:t>e</w:t>
      </w:r>
      <w:r w:rsidRPr="00DE4072">
        <w:rPr>
          <w:rFonts w:ascii="Calibri" w:hAnsi="Calibri" w:cs="Calibri"/>
          <w:w w:val="100"/>
          <w:sz w:val="14"/>
          <w:szCs w:val="14"/>
          <w:vertAlign w:val="superscript"/>
        </w:rPr>
        <w:t xml:space="preserve"> </w:t>
      </w:r>
      <w:r>
        <w:rPr>
          <w:rFonts w:ascii="Calibri" w:hAnsi="Calibri" w:cs="Calibri"/>
          <w:w w:val="100"/>
          <w:sz w:val="14"/>
          <w:szCs w:val="14"/>
        </w:rPr>
        <w:t>S</w:t>
      </w:r>
      <w:r w:rsidRPr="00DE4072">
        <w:rPr>
          <w:rFonts w:ascii="Calibri" w:hAnsi="Calibri" w:cs="Calibri"/>
          <w:w w:val="100"/>
          <w:sz w:val="14"/>
          <w:szCs w:val="14"/>
        </w:rPr>
        <w:t>pecific surface area from N</w:t>
      </w:r>
      <w:r w:rsidRPr="00DE4072">
        <w:rPr>
          <w:rFonts w:ascii="Calibri" w:hAnsi="Calibri" w:cs="Calibri"/>
          <w:w w:val="100"/>
          <w:sz w:val="14"/>
          <w:szCs w:val="14"/>
          <w:vertAlign w:val="subscript"/>
        </w:rPr>
        <w:t>2</w:t>
      </w:r>
      <w:r w:rsidRPr="00DE4072">
        <w:rPr>
          <w:rFonts w:ascii="Calibri" w:hAnsi="Calibri" w:cs="Calibri"/>
          <w:w w:val="100"/>
          <w:sz w:val="14"/>
          <w:szCs w:val="14"/>
        </w:rPr>
        <w:t xml:space="preserve"> adsorption/desorption isotherms.</w:t>
      </w:r>
    </w:p>
    <w:p w14:paraId="757EE333" w14:textId="2F3ABFBE" w:rsidR="00DE4072" w:rsidRPr="00DE4072" w:rsidRDefault="00DE4072" w:rsidP="00DE4072">
      <w:pPr>
        <w:pStyle w:val="RSCB02ArticleText"/>
        <w:spacing w:before="120" w:after="160" w:line="240" w:lineRule="auto"/>
        <w:rPr>
          <w:rFonts w:ascii="Calibri" w:hAnsi="Calibri" w:cs="Calibri"/>
          <w:w w:val="100"/>
          <w:sz w:val="14"/>
          <w:szCs w:val="14"/>
        </w:rPr>
      </w:pPr>
      <w:r w:rsidRPr="00DE4072">
        <w:rPr>
          <w:rFonts w:ascii="Calibri" w:hAnsi="Calibri" w:cs="Calibri"/>
          <w:w w:val="100"/>
          <w:sz w:val="14"/>
          <w:szCs w:val="14"/>
          <w:vertAlign w:val="superscript"/>
        </w:rPr>
        <w:t>f</w:t>
      </w:r>
      <w:r w:rsidRPr="00DE4072">
        <w:rPr>
          <w:rFonts w:ascii="Calibri" w:hAnsi="Calibri" w:cs="Calibri"/>
          <w:w w:val="100"/>
          <w:sz w:val="14"/>
          <w:szCs w:val="14"/>
        </w:rPr>
        <w:t xml:space="preserve"> Band gap energy as calculated from </w:t>
      </w:r>
      <w:r>
        <w:rPr>
          <w:rFonts w:ascii="Calibri" w:hAnsi="Calibri" w:cs="Calibri"/>
          <w:w w:val="100"/>
          <w:sz w:val="14"/>
          <w:szCs w:val="14"/>
        </w:rPr>
        <w:t xml:space="preserve">Tauc </w:t>
      </w:r>
      <w:r w:rsidRPr="00DE4072">
        <w:rPr>
          <w:rFonts w:ascii="Calibri" w:hAnsi="Calibri" w:cs="Calibri"/>
          <w:w w:val="100"/>
          <w:sz w:val="14"/>
          <w:szCs w:val="14"/>
        </w:rPr>
        <w:t>plot.</w:t>
      </w:r>
    </w:p>
    <w:p w14:paraId="36E02B93" w14:textId="0930742C" w:rsidR="00DE4072" w:rsidRPr="00DE4072" w:rsidRDefault="00DE4072" w:rsidP="00DE4072">
      <w:pPr>
        <w:pStyle w:val="RSCI04CaptiontoFigureSchemeChart"/>
        <w:rPr>
          <w:sz w:val="16"/>
          <w:szCs w:val="16"/>
        </w:rPr>
      </w:pPr>
      <w:r w:rsidRPr="00DE4072">
        <w:rPr>
          <w:b/>
          <w:sz w:val="16"/>
          <w:szCs w:val="16"/>
        </w:rPr>
        <w:t>Table 2</w:t>
      </w:r>
      <w:r w:rsidRPr="00DE4072">
        <w:rPr>
          <w:sz w:val="16"/>
          <w:szCs w:val="16"/>
        </w:rPr>
        <w:t xml:space="preserve"> Comparison of the photocatalytic hydrogen production performance of representative ceria-based materials with and without co-catalysts.</w:t>
      </w:r>
    </w:p>
    <w:tbl>
      <w:tblPr>
        <w:tblStyle w:val="Tablaconcuadrcula"/>
        <w:tblW w:w="7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1078"/>
        <w:gridCol w:w="1386"/>
        <w:gridCol w:w="1418"/>
        <w:gridCol w:w="756"/>
        <w:gridCol w:w="1118"/>
        <w:gridCol w:w="1017"/>
      </w:tblGrid>
      <w:tr w:rsidR="001A2A60" w:rsidRPr="006A1C68" w14:paraId="21268CE6" w14:textId="77777777" w:rsidTr="004226F9">
        <w:trPr>
          <w:trHeight w:val="230"/>
          <w:jc w:val="center"/>
        </w:trPr>
        <w:tc>
          <w:tcPr>
            <w:tcW w:w="1023" w:type="dxa"/>
            <w:tcBorders>
              <w:top w:val="single" w:sz="4" w:space="0" w:color="auto"/>
              <w:bottom w:val="single" w:sz="4" w:space="0" w:color="auto"/>
            </w:tcBorders>
            <w:vAlign w:val="center"/>
          </w:tcPr>
          <w:p w14:paraId="0B0FA798" w14:textId="77777777" w:rsidR="004226F9"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Sample</w:t>
            </w:r>
          </w:p>
          <w:p w14:paraId="7DA13A9E" w14:textId="4D748B45"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mass / mg</w:t>
            </w:r>
          </w:p>
        </w:tc>
        <w:tc>
          <w:tcPr>
            <w:tcW w:w="1078" w:type="dxa"/>
            <w:tcBorders>
              <w:top w:val="single" w:sz="4" w:space="0" w:color="auto"/>
              <w:bottom w:val="single" w:sz="4" w:space="0" w:color="auto"/>
            </w:tcBorders>
            <w:vAlign w:val="center"/>
          </w:tcPr>
          <w:p w14:paraId="5C1FB696" w14:textId="6740F9B2"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Co-catalyst</w:t>
            </w:r>
          </w:p>
        </w:tc>
        <w:tc>
          <w:tcPr>
            <w:tcW w:w="1386" w:type="dxa"/>
            <w:tcBorders>
              <w:top w:val="single" w:sz="4" w:space="0" w:color="auto"/>
              <w:bottom w:val="single" w:sz="4" w:space="0" w:color="auto"/>
            </w:tcBorders>
            <w:vAlign w:val="center"/>
          </w:tcPr>
          <w:p w14:paraId="47AC775A" w14:textId="5B39CBE6"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Reducing agent</w:t>
            </w:r>
          </w:p>
        </w:tc>
        <w:tc>
          <w:tcPr>
            <w:tcW w:w="1418" w:type="dxa"/>
            <w:tcBorders>
              <w:top w:val="single" w:sz="4" w:space="0" w:color="auto"/>
              <w:bottom w:val="single" w:sz="4" w:space="0" w:color="auto"/>
            </w:tcBorders>
            <w:vAlign w:val="center"/>
          </w:tcPr>
          <w:p w14:paraId="3D0A24C6" w14:textId="77777777" w:rsidR="004226F9"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Power of</w:t>
            </w:r>
          </w:p>
          <w:p w14:paraId="3E6B8FE3" w14:textId="0F94082B"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light source / W</w:t>
            </w:r>
          </w:p>
        </w:tc>
        <w:tc>
          <w:tcPr>
            <w:tcW w:w="756" w:type="dxa"/>
            <w:tcBorders>
              <w:top w:val="single" w:sz="4" w:space="0" w:color="auto"/>
              <w:bottom w:val="single" w:sz="4" w:space="0" w:color="auto"/>
            </w:tcBorders>
            <w:vAlign w:val="center"/>
          </w:tcPr>
          <w:p w14:paraId="3F7BC949" w14:textId="1C3820E9" w:rsidR="001A2A60" w:rsidRPr="00A22A78" w:rsidRDefault="001A2A60" w:rsidP="001B4BA4">
            <w:pPr>
              <w:pStyle w:val="RSCB02ArticleText"/>
              <w:spacing w:line="240" w:lineRule="auto"/>
              <w:jc w:val="left"/>
              <w:rPr>
                <w:rFonts w:ascii="Calibri" w:hAnsi="Calibri" w:cs="Calibri"/>
                <w:sz w:val="16"/>
                <w:szCs w:val="16"/>
              </w:rPr>
            </w:pPr>
            <w:r w:rsidRPr="006A1C68">
              <w:rPr>
                <w:rFonts w:ascii="Calibri" w:hAnsi="Calibri" w:cs="Calibri"/>
                <w:sz w:val="16"/>
                <w:szCs w:val="16"/>
              </w:rPr>
              <w:t>λ</w:t>
            </w:r>
            <w:r>
              <w:rPr>
                <w:rFonts w:ascii="Calibri" w:hAnsi="Calibri" w:cs="Calibri"/>
                <w:sz w:val="16"/>
                <w:szCs w:val="16"/>
              </w:rPr>
              <w:t xml:space="preserve"> / nm</w:t>
            </w:r>
          </w:p>
        </w:tc>
        <w:tc>
          <w:tcPr>
            <w:tcW w:w="1118" w:type="dxa"/>
            <w:tcBorders>
              <w:top w:val="single" w:sz="4" w:space="0" w:color="auto"/>
              <w:bottom w:val="single" w:sz="4" w:space="0" w:color="auto"/>
            </w:tcBorders>
            <w:vAlign w:val="center"/>
          </w:tcPr>
          <w:p w14:paraId="6B690529" w14:textId="77777777" w:rsidR="004226F9"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H</w:t>
            </w:r>
            <w:r w:rsidRPr="006A1C68">
              <w:rPr>
                <w:rFonts w:ascii="Calibri" w:hAnsi="Calibri" w:cs="Calibri"/>
                <w:sz w:val="16"/>
                <w:szCs w:val="16"/>
                <w:vertAlign w:val="subscript"/>
              </w:rPr>
              <w:t>2</w:t>
            </w:r>
            <w:r>
              <w:rPr>
                <w:rFonts w:ascii="Calibri" w:hAnsi="Calibri" w:cs="Calibri"/>
                <w:sz w:val="16"/>
                <w:szCs w:val="16"/>
              </w:rPr>
              <w:t xml:space="preserve"> yield /</w:t>
            </w:r>
          </w:p>
          <w:p w14:paraId="0AE5DCD9" w14:textId="0FF5FFF5" w:rsidR="001A2A60" w:rsidRPr="00A22A78" w:rsidRDefault="001A2A60" w:rsidP="001B4BA4">
            <w:pPr>
              <w:pStyle w:val="RSCB02ArticleText"/>
              <w:spacing w:line="240" w:lineRule="auto"/>
              <w:jc w:val="left"/>
              <w:rPr>
                <w:rFonts w:ascii="Calibri" w:hAnsi="Calibri" w:cs="Calibri"/>
                <w:sz w:val="16"/>
                <w:szCs w:val="16"/>
              </w:rPr>
            </w:pPr>
            <w:r w:rsidRPr="006A1C68">
              <w:rPr>
                <w:rFonts w:ascii="Calibri" w:hAnsi="Calibri" w:cs="Calibri"/>
                <w:sz w:val="16"/>
                <w:szCs w:val="16"/>
              </w:rPr>
              <w:t>μ</w:t>
            </w:r>
            <w:r>
              <w:rPr>
                <w:rFonts w:ascii="Calibri" w:hAnsi="Calibri" w:cs="Calibri"/>
                <w:sz w:val="16"/>
                <w:szCs w:val="16"/>
              </w:rPr>
              <w:t>mol·(g·h)</w:t>
            </w:r>
            <w:r w:rsidRPr="006A1C68">
              <w:rPr>
                <w:rFonts w:ascii="Calibri" w:hAnsi="Calibri" w:cs="Calibri"/>
                <w:sz w:val="16"/>
                <w:szCs w:val="16"/>
                <w:vertAlign w:val="superscript"/>
              </w:rPr>
              <w:t>-1</w:t>
            </w:r>
          </w:p>
        </w:tc>
        <w:tc>
          <w:tcPr>
            <w:tcW w:w="1017" w:type="dxa"/>
            <w:tcBorders>
              <w:top w:val="single" w:sz="4" w:space="0" w:color="auto"/>
              <w:bottom w:val="single" w:sz="4" w:space="0" w:color="auto"/>
            </w:tcBorders>
            <w:vAlign w:val="center"/>
          </w:tcPr>
          <w:p w14:paraId="2F5636D1" w14:textId="3F8D8FEC" w:rsidR="001A2A60" w:rsidRPr="006A1C6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Reference</w:t>
            </w:r>
          </w:p>
        </w:tc>
      </w:tr>
      <w:tr w:rsidR="001A2A60" w:rsidRPr="006A1C68" w14:paraId="74768F0A" w14:textId="77777777" w:rsidTr="004226F9">
        <w:trPr>
          <w:trHeight w:val="230"/>
          <w:jc w:val="center"/>
        </w:trPr>
        <w:tc>
          <w:tcPr>
            <w:tcW w:w="1023" w:type="dxa"/>
            <w:tcBorders>
              <w:top w:val="single" w:sz="4" w:space="0" w:color="auto"/>
            </w:tcBorders>
            <w:vAlign w:val="center"/>
          </w:tcPr>
          <w:p w14:paraId="5EF80B3A" w14:textId="4FA4F754"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10</w:t>
            </w:r>
          </w:p>
        </w:tc>
        <w:tc>
          <w:tcPr>
            <w:tcW w:w="1078" w:type="dxa"/>
            <w:tcBorders>
              <w:top w:val="single" w:sz="4" w:space="0" w:color="auto"/>
            </w:tcBorders>
            <w:vAlign w:val="center"/>
          </w:tcPr>
          <w:p w14:paraId="6CD38855" w14:textId="286EC792"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Pt</w:t>
            </w:r>
          </w:p>
        </w:tc>
        <w:tc>
          <w:tcPr>
            <w:tcW w:w="1386" w:type="dxa"/>
            <w:tcBorders>
              <w:top w:val="single" w:sz="4" w:space="0" w:color="auto"/>
            </w:tcBorders>
            <w:vAlign w:val="center"/>
          </w:tcPr>
          <w:p w14:paraId="0A222409" w14:textId="0B51C6E0"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Ethanol</w:t>
            </w:r>
          </w:p>
        </w:tc>
        <w:tc>
          <w:tcPr>
            <w:tcW w:w="1418" w:type="dxa"/>
            <w:tcBorders>
              <w:top w:val="single" w:sz="4" w:space="0" w:color="auto"/>
            </w:tcBorders>
            <w:vAlign w:val="center"/>
          </w:tcPr>
          <w:p w14:paraId="5ACD2A2F" w14:textId="1A09E4FD"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450</w:t>
            </w:r>
          </w:p>
        </w:tc>
        <w:tc>
          <w:tcPr>
            <w:tcW w:w="756" w:type="dxa"/>
            <w:tcBorders>
              <w:top w:val="single" w:sz="4" w:space="0" w:color="auto"/>
            </w:tcBorders>
            <w:vAlign w:val="center"/>
          </w:tcPr>
          <w:p w14:paraId="0BD840C4" w14:textId="22C94E4C"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tcBorders>
              <w:top w:val="single" w:sz="4" w:space="0" w:color="auto"/>
            </w:tcBorders>
            <w:vAlign w:val="center"/>
          </w:tcPr>
          <w:p w14:paraId="02396411" w14:textId="46FF5A8D"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153.0</w:t>
            </w:r>
          </w:p>
        </w:tc>
        <w:tc>
          <w:tcPr>
            <w:tcW w:w="1017" w:type="dxa"/>
            <w:tcBorders>
              <w:top w:val="single" w:sz="4" w:space="0" w:color="auto"/>
            </w:tcBorders>
            <w:vAlign w:val="center"/>
          </w:tcPr>
          <w:p w14:paraId="6EC090E0" w14:textId="619A2223" w:rsidR="001A2A60" w:rsidRPr="00A22A78" w:rsidRDefault="001A2A60" w:rsidP="001B4BA4">
            <w:pPr>
              <w:pStyle w:val="RSCB02ArticleText"/>
              <w:spacing w:line="240" w:lineRule="auto"/>
              <w:jc w:val="left"/>
              <w:rPr>
                <w:rFonts w:ascii="Calibri" w:hAnsi="Calibri" w:cs="Calibri"/>
                <w:sz w:val="16"/>
                <w:szCs w:val="16"/>
              </w:rPr>
            </w:pPr>
            <w:r>
              <w:rPr>
                <w:rFonts w:ascii="Calibri" w:hAnsi="Calibri" w:cs="Calibri"/>
                <w:sz w:val="16"/>
                <w:szCs w:val="16"/>
              </w:rPr>
              <w:t>This work</w:t>
            </w:r>
          </w:p>
        </w:tc>
      </w:tr>
      <w:tr w:rsidR="00CE3E75" w:rsidRPr="006A1C68" w14:paraId="5CD4B265" w14:textId="77777777" w:rsidTr="004226F9">
        <w:trPr>
          <w:trHeight w:val="230"/>
          <w:jc w:val="center"/>
        </w:trPr>
        <w:tc>
          <w:tcPr>
            <w:tcW w:w="1023" w:type="dxa"/>
            <w:vAlign w:val="center"/>
          </w:tcPr>
          <w:p w14:paraId="2C5ADDE5" w14:textId="5739BD41"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30</w:t>
            </w:r>
          </w:p>
        </w:tc>
        <w:tc>
          <w:tcPr>
            <w:tcW w:w="1078" w:type="dxa"/>
            <w:vAlign w:val="center"/>
          </w:tcPr>
          <w:p w14:paraId="34FF5F5A" w14:textId="5D1E495E"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386" w:type="dxa"/>
            <w:vAlign w:val="center"/>
          </w:tcPr>
          <w:p w14:paraId="43F9CC46" w14:textId="4BF5FF65"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Methanol</w:t>
            </w:r>
          </w:p>
        </w:tc>
        <w:tc>
          <w:tcPr>
            <w:tcW w:w="1418" w:type="dxa"/>
            <w:vAlign w:val="center"/>
          </w:tcPr>
          <w:p w14:paraId="611E6555" w14:textId="375399C3"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756" w:type="dxa"/>
            <w:vAlign w:val="center"/>
          </w:tcPr>
          <w:p w14:paraId="662247CA" w14:textId="41690AEE"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400</w:t>
            </w:r>
          </w:p>
        </w:tc>
        <w:tc>
          <w:tcPr>
            <w:tcW w:w="1118" w:type="dxa"/>
            <w:vAlign w:val="center"/>
          </w:tcPr>
          <w:p w14:paraId="4C290F63" w14:textId="0AD5448C"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68</w:t>
            </w:r>
          </w:p>
        </w:tc>
        <w:sdt>
          <w:sdtPr>
            <w:rPr>
              <w:rFonts w:ascii="Calibri" w:hAnsi="Calibri" w:cs="Calibri"/>
              <w:color w:val="000000"/>
              <w:sz w:val="16"/>
              <w:szCs w:val="16"/>
              <w:vertAlign w:val="superscript"/>
            </w:rPr>
            <w:tag w:val="MENDELEY_CITATION_v3_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"/>
            <w:id w:val="-302230706"/>
            <w:placeholder>
              <w:docPart w:val="DefaultPlaceholder_-1854013440"/>
            </w:placeholder>
          </w:sdtPr>
          <w:sdtContent>
            <w:tc>
              <w:tcPr>
                <w:tcW w:w="1017" w:type="dxa"/>
                <w:vAlign w:val="center"/>
              </w:tcPr>
              <w:p w14:paraId="5E401E3B" w14:textId="5FAF7C24"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1</w:t>
                </w:r>
              </w:p>
            </w:tc>
          </w:sdtContent>
        </w:sdt>
      </w:tr>
      <w:tr w:rsidR="00CE3E75" w:rsidRPr="006A1C68" w14:paraId="6AD68655" w14:textId="77777777" w:rsidTr="004226F9">
        <w:trPr>
          <w:trHeight w:val="230"/>
          <w:jc w:val="center"/>
        </w:trPr>
        <w:tc>
          <w:tcPr>
            <w:tcW w:w="1023" w:type="dxa"/>
            <w:vAlign w:val="center"/>
          </w:tcPr>
          <w:p w14:paraId="6F24B515" w14:textId="01848596"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50</w:t>
            </w:r>
          </w:p>
        </w:tc>
        <w:tc>
          <w:tcPr>
            <w:tcW w:w="1078" w:type="dxa"/>
            <w:vAlign w:val="center"/>
          </w:tcPr>
          <w:p w14:paraId="6E43CC27" w14:textId="54057BE5"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386" w:type="dxa"/>
            <w:vAlign w:val="center"/>
          </w:tcPr>
          <w:p w14:paraId="39FBF92B" w14:textId="716EE711"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418" w:type="dxa"/>
            <w:vAlign w:val="center"/>
          </w:tcPr>
          <w:p w14:paraId="1292A9FC" w14:textId="623C6A2E"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400</w:t>
            </w:r>
          </w:p>
        </w:tc>
        <w:tc>
          <w:tcPr>
            <w:tcW w:w="756" w:type="dxa"/>
            <w:vAlign w:val="center"/>
          </w:tcPr>
          <w:p w14:paraId="1F8FE757" w14:textId="488A544E"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6EAAB052" w14:textId="643FB28D"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12.5</w:t>
            </w:r>
          </w:p>
        </w:tc>
        <w:sdt>
          <w:sdtPr>
            <w:rPr>
              <w:rFonts w:ascii="Calibri" w:hAnsi="Calibri" w:cs="Calibri"/>
              <w:color w:val="000000"/>
              <w:sz w:val="16"/>
              <w:szCs w:val="16"/>
              <w:vertAlign w:val="superscript"/>
            </w:rPr>
            <w:tag w:val="MENDELEY_CITATION_v3_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"/>
            <w:id w:val="-1400979366"/>
            <w:placeholder>
              <w:docPart w:val="DefaultPlaceholder_-1854013440"/>
            </w:placeholder>
          </w:sdtPr>
          <w:sdtContent>
            <w:tc>
              <w:tcPr>
                <w:tcW w:w="1017" w:type="dxa"/>
                <w:vAlign w:val="center"/>
              </w:tcPr>
              <w:p w14:paraId="253B3114" w14:textId="6F9CBEC6"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2</w:t>
                </w:r>
              </w:p>
            </w:tc>
          </w:sdtContent>
        </w:sdt>
      </w:tr>
      <w:tr w:rsidR="00CE3E75" w:rsidRPr="006A1C68" w14:paraId="3842A842" w14:textId="77777777" w:rsidTr="004226F9">
        <w:trPr>
          <w:trHeight w:val="230"/>
          <w:jc w:val="center"/>
        </w:trPr>
        <w:tc>
          <w:tcPr>
            <w:tcW w:w="1023" w:type="dxa"/>
            <w:vAlign w:val="center"/>
          </w:tcPr>
          <w:p w14:paraId="3D87F73C" w14:textId="34329FEF"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1000</w:t>
            </w:r>
          </w:p>
        </w:tc>
        <w:tc>
          <w:tcPr>
            <w:tcW w:w="1078" w:type="dxa"/>
            <w:vAlign w:val="center"/>
          </w:tcPr>
          <w:p w14:paraId="242491BD" w14:textId="1F88B7E9"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386" w:type="dxa"/>
            <w:vAlign w:val="center"/>
          </w:tcPr>
          <w:p w14:paraId="29F7CA71" w14:textId="7AB1B6E4"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418" w:type="dxa"/>
            <w:vAlign w:val="center"/>
          </w:tcPr>
          <w:p w14:paraId="221E0F2B" w14:textId="61BC852B"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450</w:t>
            </w:r>
          </w:p>
        </w:tc>
        <w:tc>
          <w:tcPr>
            <w:tcW w:w="756" w:type="dxa"/>
            <w:vAlign w:val="center"/>
          </w:tcPr>
          <w:p w14:paraId="7638AE59" w14:textId="4F58836B"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77858257" w14:textId="01BB1C7C" w:rsidR="00CE3E75"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7.1</w:t>
            </w:r>
          </w:p>
        </w:tc>
        <w:sdt>
          <w:sdtPr>
            <w:rPr>
              <w:rFonts w:ascii="Calibri" w:hAnsi="Calibri" w:cs="Calibri"/>
              <w:color w:val="000000"/>
              <w:sz w:val="16"/>
              <w:szCs w:val="16"/>
              <w:vertAlign w:val="superscript"/>
            </w:rPr>
            <w:tag w:val="MENDELEY_CITATION_v3_eyJjaXRhdGlvbklEIjoiTUVOREVMRVlfQ0lUQVRJT05fOWI0ZDk0ZjMtNTU5OC00OTE1LTlkOTUtYTFlMDhmYTM3MDlh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
            <w:id w:val="-865212365"/>
            <w:placeholder>
              <w:docPart w:val="DefaultPlaceholder_-1854013440"/>
            </w:placeholder>
          </w:sdtPr>
          <w:sdtContent>
            <w:tc>
              <w:tcPr>
                <w:tcW w:w="1017" w:type="dxa"/>
                <w:vAlign w:val="center"/>
              </w:tcPr>
              <w:p w14:paraId="57E6471A" w14:textId="735277C2"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3</w:t>
                </w:r>
              </w:p>
            </w:tc>
          </w:sdtContent>
        </w:sdt>
      </w:tr>
      <w:tr w:rsidR="00CE3E75" w:rsidRPr="006A1C68" w14:paraId="15C1F550" w14:textId="77777777" w:rsidTr="004226F9">
        <w:trPr>
          <w:trHeight w:val="230"/>
          <w:jc w:val="center"/>
        </w:trPr>
        <w:tc>
          <w:tcPr>
            <w:tcW w:w="1023" w:type="dxa"/>
            <w:vAlign w:val="center"/>
          </w:tcPr>
          <w:p w14:paraId="4089C6C4" w14:textId="11F44F4E"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1000</w:t>
            </w:r>
          </w:p>
        </w:tc>
        <w:tc>
          <w:tcPr>
            <w:tcW w:w="1078" w:type="dxa"/>
            <w:vAlign w:val="center"/>
          </w:tcPr>
          <w:p w14:paraId="009B1716" w14:textId="785AECB1"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Pt</w:t>
            </w:r>
          </w:p>
        </w:tc>
        <w:tc>
          <w:tcPr>
            <w:tcW w:w="1386" w:type="dxa"/>
            <w:vAlign w:val="center"/>
          </w:tcPr>
          <w:p w14:paraId="58D15E37" w14:textId="53372EF2"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418" w:type="dxa"/>
            <w:vAlign w:val="center"/>
          </w:tcPr>
          <w:p w14:paraId="731838CC" w14:textId="7E485EFA"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450</w:t>
            </w:r>
          </w:p>
        </w:tc>
        <w:tc>
          <w:tcPr>
            <w:tcW w:w="756" w:type="dxa"/>
            <w:vAlign w:val="center"/>
          </w:tcPr>
          <w:p w14:paraId="0347E718" w14:textId="721E3B0B"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7879364B" w14:textId="7AEEB290"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7.7</w:t>
            </w:r>
          </w:p>
        </w:tc>
        <w:sdt>
          <w:sdtPr>
            <w:rPr>
              <w:rFonts w:ascii="Calibri" w:hAnsi="Calibri" w:cs="Calibri"/>
              <w:color w:val="000000"/>
              <w:sz w:val="16"/>
              <w:szCs w:val="16"/>
              <w:vertAlign w:val="superscript"/>
            </w:rPr>
            <w:tag w:val="MENDELEY_CITATION_v3_eyJjaXRhdGlvbklEIjoiTUVOREVMRVlfQ0lUQVRJT05fNzMxMmI5NmUtZmU0Yi00NTdjLTk5OGUtNmJiMzVhZDdjZjAw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
            <w:id w:val="981657214"/>
            <w:placeholder>
              <w:docPart w:val="DefaultPlaceholder_-1854013440"/>
            </w:placeholder>
          </w:sdtPr>
          <w:sdtContent>
            <w:tc>
              <w:tcPr>
                <w:tcW w:w="1017" w:type="dxa"/>
                <w:vAlign w:val="center"/>
              </w:tcPr>
              <w:p w14:paraId="5D24CC64" w14:textId="387263BB"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3</w:t>
                </w:r>
              </w:p>
            </w:tc>
          </w:sdtContent>
        </w:sdt>
      </w:tr>
      <w:tr w:rsidR="00CE3E75" w:rsidRPr="006A1C68" w14:paraId="4C4DEF1C" w14:textId="77777777" w:rsidTr="004226F9">
        <w:trPr>
          <w:trHeight w:val="230"/>
          <w:jc w:val="center"/>
        </w:trPr>
        <w:tc>
          <w:tcPr>
            <w:tcW w:w="1023" w:type="dxa"/>
            <w:vAlign w:val="center"/>
          </w:tcPr>
          <w:p w14:paraId="331E21DF" w14:textId="1B61CF11"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1000</w:t>
            </w:r>
          </w:p>
        </w:tc>
        <w:tc>
          <w:tcPr>
            <w:tcW w:w="1078" w:type="dxa"/>
            <w:vAlign w:val="center"/>
          </w:tcPr>
          <w:p w14:paraId="260627ED" w14:textId="5C294580"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Li</w:t>
            </w:r>
          </w:p>
        </w:tc>
        <w:tc>
          <w:tcPr>
            <w:tcW w:w="1386" w:type="dxa"/>
            <w:vAlign w:val="center"/>
          </w:tcPr>
          <w:p w14:paraId="5536869D" w14:textId="365C1A9D"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418" w:type="dxa"/>
            <w:vAlign w:val="center"/>
          </w:tcPr>
          <w:p w14:paraId="27D714DF" w14:textId="4C391D3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450</w:t>
            </w:r>
          </w:p>
        </w:tc>
        <w:tc>
          <w:tcPr>
            <w:tcW w:w="756" w:type="dxa"/>
            <w:vAlign w:val="center"/>
          </w:tcPr>
          <w:p w14:paraId="01486EB4" w14:textId="4622ADC8"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52CBB200" w14:textId="6226A2C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8.4</w:t>
            </w:r>
          </w:p>
        </w:tc>
        <w:sdt>
          <w:sdtPr>
            <w:rPr>
              <w:rFonts w:ascii="Calibri" w:hAnsi="Calibri" w:cs="Calibri"/>
              <w:color w:val="000000"/>
              <w:sz w:val="16"/>
              <w:szCs w:val="16"/>
              <w:vertAlign w:val="superscript"/>
            </w:rPr>
            <w:tag w:val="MENDELEY_CITATION_v3_eyJjaXRhdGlvbklEIjoiTUVOREVMRVlfQ0lUQVRJT05fM2NjNmUxNDktNGY3MS00ZjM1LWI4OWItZmYyMWM1OWVkZTJl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
            <w:id w:val="957684151"/>
            <w:placeholder>
              <w:docPart w:val="DefaultPlaceholder_-1854013440"/>
            </w:placeholder>
          </w:sdtPr>
          <w:sdtContent>
            <w:tc>
              <w:tcPr>
                <w:tcW w:w="1017" w:type="dxa"/>
                <w:vAlign w:val="center"/>
              </w:tcPr>
              <w:p w14:paraId="6B789632" w14:textId="4A3DFADC"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3</w:t>
                </w:r>
              </w:p>
            </w:tc>
          </w:sdtContent>
        </w:sdt>
      </w:tr>
      <w:tr w:rsidR="00CE3E75" w:rsidRPr="006A1C68" w14:paraId="58BBF4C2" w14:textId="77777777" w:rsidTr="004226F9">
        <w:trPr>
          <w:trHeight w:val="230"/>
          <w:jc w:val="center"/>
        </w:trPr>
        <w:tc>
          <w:tcPr>
            <w:tcW w:w="1023" w:type="dxa"/>
            <w:vAlign w:val="center"/>
          </w:tcPr>
          <w:p w14:paraId="6CC72820" w14:textId="7777777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1000</w:t>
            </w:r>
          </w:p>
        </w:tc>
        <w:tc>
          <w:tcPr>
            <w:tcW w:w="1078" w:type="dxa"/>
            <w:vAlign w:val="center"/>
          </w:tcPr>
          <w:p w14:paraId="2F5B333C" w14:textId="0238A075"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Cs</w:t>
            </w:r>
          </w:p>
        </w:tc>
        <w:tc>
          <w:tcPr>
            <w:tcW w:w="1386" w:type="dxa"/>
            <w:vAlign w:val="center"/>
          </w:tcPr>
          <w:p w14:paraId="58C955F1" w14:textId="7777777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418" w:type="dxa"/>
            <w:vAlign w:val="center"/>
          </w:tcPr>
          <w:p w14:paraId="3EF2F3E4" w14:textId="7777777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450</w:t>
            </w:r>
          </w:p>
        </w:tc>
        <w:tc>
          <w:tcPr>
            <w:tcW w:w="756" w:type="dxa"/>
            <w:vAlign w:val="center"/>
          </w:tcPr>
          <w:p w14:paraId="0983368B" w14:textId="7777777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09D01544" w14:textId="67C7B7D7"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81.6</w:t>
            </w:r>
          </w:p>
        </w:tc>
        <w:sdt>
          <w:sdtPr>
            <w:rPr>
              <w:rFonts w:ascii="Calibri" w:hAnsi="Calibri" w:cs="Calibri"/>
              <w:color w:val="000000"/>
              <w:sz w:val="16"/>
              <w:szCs w:val="16"/>
              <w:vertAlign w:val="superscript"/>
            </w:rPr>
            <w:tag w:val="MENDELEY_CITATION_v3_eyJjaXRhdGlvbklEIjoiTUVOREVMRVlfQ0lUQVRJT05fMjA2ZjNmMWItYjZkNy00NTdlLTljMjQtOWI2MGU5OWU3Y2Qx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
            <w:id w:val="-1795897617"/>
            <w:placeholder>
              <w:docPart w:val="DefaultPlaceholder_-1854013440"/>
            </w:placeholder>
          </w:sdtPr>
          <w:sdtContent>
            <w:tc>
              <w:tcPr>
                <w:tcW w:w="1017" w:type="dxa"/>
                <w:vAlign w:val="center"/>
              </w:tcPr>
              <w:p w14:paraId="0ECC8FF9" w14:textId="03E716FA"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3</w:t>
                </w:r>
              </w:p>
            </w:tc>
          </w:sdtContent>
        </w:sdt>
      </w:tr>
      <w:tr w:rsidR="00CE3E75" w:rsidRPr="006A1C68" w14:paraId="72EDF8A2" w14:textId="77777777" w:rsidTr="004226F9">
        <w:trPr>
          <w:trHeight w:val="230"/>
          <w:jc w:val="center"/>
        </w:trPr>
        <w:tc>
          <w:tcPr>
            <w:tcW w:w="1023" w:type="dxa"/>
            <w:vAlign w:val="center"/>
          </w:tcPr>
          <w:p w14:paraId="05002063" w14:textId="619FA958"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100</w:t>
            </w:r>
          </w:p>
        </w:tc>
        <w:tc>
          <w:tcPr>
            <w:tcW w:w="1078" w:type="dxa"/>
            <w:vAlign w:val="center"/>
          </w:tcPr>
          <w:p w14:paraId="70E7192E" w14:textId="11A64528"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386" w:type="dxa"/>
            <w:vAlign w:val="center"/>
          </w:tcPr>
          <w:p w14:paraId="6CBDE1C9" w14:textId="57FFEF4B"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Na</w:t>
            </w:r>
            <w:r w:rsidRPr="00CE3E75">
              <w:rPr>
                <w:rFonts w:ascii="Calibri" w:hAnsi="Calibri" w:cs="Calibri"/>
                <w:sz w:val="16"/>
                <w:szCs w:val="16"/>
                <w:vertAlign w:val="subscript"/>
              </w:rPr>
              <w:t>2</w:t>
            </w:r>
            <w:r>
              <w:rPr>
                <w:rFonts w:ascii="Calibri" w:hAnsi="Calibri" w:cs="Calibri"/>
                <w:sz w:val="16"/>
                <w:szCs w:val="16"/>
              </w:rPr>
              <w:t>S + Na</w:t>
            </w:r>
            <w:r w:rsidRPr="00CE3E75">
              <w:rPr>
                <w:rFonts w:ascii="Calibri" w:hAnsi="Calibri" w:cs="Calibri"/>
                <w:sz w:val="16"/>
                <w:szCs w:val="16"/>
                <w:vertAlign w:val="subscript"/>
              </w:rPr>
              <w:t>2</w:t>
            </w:r>
            <w:r>
              <w:rPr>
                <w:rFonts w:ascii="Calibri" w:hAnsi="Calibri" w:cs="Calibri"/>
                <w:sz w:val="16"/>
                <w:szCs w:val="16"/>
              </w:rPr>
              <w:t>SO</w:t>
            </w:r>
            <w:r w:rsidRPr="00CE3E75">
              <w:rPr>
                <w:rFonts w:ascii="Calibri" w:hAnsi="Calibri" w:cs="Calibri"/>
                <w:sz w:val="16"/>
                <w:szCs w:val="16"/>
                <w:vertAlign w:val="subscript"/>
              </w:rPr>
              <w:t>3</w:t>
            </w:r>
          </w:p>
        </w:tc>
        <w:tc>
          <w:tcPr>
            <w:tcW w:w="1418" w:type="dxa"/>
            <w:vAlign w:val="center"/>
          </w:tcPr>
          <w:p w14:paraId="4B8BC166" w14:textId="4CE36531"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300</w:t>
            </w:r>
          </w:p>
        </w:tc>
        <w:tc>
          <w:tcPr>
            <w:tcW w:w="756" w:type="dxa"/>
            <w:vAlign w:val="center"/>
          </w:tcPr>
          <w:p w14:paraId="4B8736C1" w14:textId="2B47C7C5" w:rsidR="00CE3E75" w:rsidRPr="00A22A78"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1D4C55A5" w14:textId="41FBC3AB" w:rsidR="00CE3E75" w:rsidRPr="00882D33" w:rsidRDefault="00CE3E75" w:rsidP="00CE3E75">
            <w:pPr>
              <w:pStyle w:val="RSCB02ArticleText"/>
              <w:spacing w:line="240" w:lineRule="auto"/>
              <w:jc w:val="left"/>
              <w:rPr>
                <w:rFonts w:ascii="Calibri" w:hAnsi="Calibri" w:cs="Calibri"/>
                <w:sz w:val="16"/>
                <w:szCs w:val="16"/>
              </w:rPr>
            </w:pPr>
            <w:r>
              <w:rPr>
                <w:rFonts w:ascii="Calibri" w:hAnsi="Calibri" w:cs="Calibri"/>
                <w:sz w:val="16"/>
                <w:szCs w:val="16"/>
              </w:rPr>
              <w:t>5.0</w:t>
            </w:r>
          </w:p>
        </w:tc>
        <w:sdt>
          <w:sdtPr>
            <w:rPr>
              <w:rFonts w:ascii="Calibri" w:hAnsi="Calibri" w:cs="Calibri"/>
              <w:color w:val="000000"/>
              <w:sz w:val="16"/>
              <w:szCs w:val="16"/>
              <w:vertAlign w:val="superscript"/>
            </w:rPr>
            <w:tag w:val="MENDELEY_CITATION_v3_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"/>
            <w:id w:val="-1804075698"/>
            <w:placeholder>
              <w:docPart w:val="DefaultPlaceholder_-1854013440"/>
            </w:placeholder>
          </w:sdtPr>
          <w:sdtContent>
            <w:tc>
              <w:tcPr>
                <w:tcW w:w="1017" w:type="dxa"/>
                <w:vAlign w:val="center"/>
              </w:tcPr>
              <w:p w14:paraId="147E5204" w14:textId="3C1C3245" w:rsidR="00CE3E75" w:rsidRPr="00A22A78" w:rsidRDefault="00033BCB" w:rsidP="00CE3E75">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4</w:t>
                </w:r>
              </w:p>
            </w:tc>
          </w:sdtContent>
        </w:sdt>
      </w:tr>
      <w:tr w:rsidR="004226F9" w:rsidRPr="006A1C68" w14:paraId="01AB98C1" w14:textId="77777777" w:rsidTr="004226F9">
        <w:trPr>
          <w:trHeight w:val="230"/>
          <w:jc w:val="center"/>
        </w:trPr>
        <w:tc>
          <w:tcPr>
            <w:tcW w:w="1023" w:type="dxa"/>
            <w:vAlign w:val="center"/>
          </w:tcPr>
          <w:p w14:paraId="2E68656D" w14:textId="427A3E07" w:rsidR="004226F9" w:rsidRPr="00A22A78"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10</w:t>
            </w:r>
          </w:p>
        </w:tc>
        <w:tc>
          <w:tcPr>
            <w:tcW w:w="1078" w:type="dxa"/>
            <w:vAlign w:val="center"/>
          </w:tcPr>
          <w:p w14:paraId="7607C2C3" w14:textId="66AA6E54" w:rsidR="004226F9" w:rsidRPr="00A22A78"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w:t>
            </w:r>
          </w:p>
        </w:tc>
        <w:tc>
          <w:tcPr>
            <w:tcW w:w="1386" w:type="dxa"/>
            <w:vAlign w:val="center"/>
          </w:tcPr>
          <w:p w14:paraId="22C7AD93" w14:textId="5FF4DF85" w:rsidR="004226F9" w:rsidRPr="00A22A78"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Ethanol</w:t>
            </w:r>
          </w:p>
        </w:tc>
        <w:tc>
          <w:tcPr>
            <w:tcW w:w="1418" w:type="dxa"/>
            <w:vAlign w:val="center"/>
          </w:tcPr>
          <w:p w14:paraId="615AA842" w14:textId="241E1F65" w:rsidR="004226F9" w:rsidRPr="00A22A78"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225</w:t>
            </w:r>
          </w:p>
        </w:tc>
        <w:tc>
          <w:tcPr>
            <w:tcW w:w="756" w:type="dxa"/>
            <w:vAlign w:val="center"/>
          </w:tcPr>
          <w:p w14:paraId="6DF5CD3B" w14:textId="697FBF6D" w:rsidR="004226F9" w:rsidRPr="00A22A78"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&gt; 200</w:t>
            </w:r>
          </w:p>
        </w:tc>
        <w:tc>
          <w:tcPr>
            <w:tcW w:w="1118" w:type="dxa"/>
            <w:vAlign w:val="center"/>
          </w:tcPr>
          <w:p w14:paraId="09CF47CC" w14:textId="7058B920" w:rsidR="004226F9" w:rsidRPr="00882D33" w:rsidRDefault="004226F9" w:rsidP="004226F9">
            <w:pPr>
              <w:pStyle w:val="RSCB02ArticleText"/>
              <w:spacing w:line="240" w:lineRule="auto"/>
              <w:jc w:val="left"/>
              <w:rPr>
                <w:rFonts w:ascii="Calibri" w:hAnsi="Calibri" w:cs="Calibri"/>
                <w:sz w:val="16"/>
                <w:szCs w:val="16"/>
              </w:rPr>
            </w:pPr>
            <w:r>
              <w:rPr>
                <w:rFonts w:ascii="Calibri" w:hAnsi="Calibri" w:cs="Calibri"/>
                <w:sz w:val="16"/>
                <w:szCs w:val="16"/>
              </w:rPr>
              <w:t>112</w:t>
            </w:r>
          </w:p>
        </w:tc>
        <w:sdt>
          <w:sdtPr>
            <w:rPr>
              <w:rFonts w:ascii="Calibri" w:hAnsi="Calibri" w:cs="Calibri"/>
              <w:color w:val="000000"/>
              <w:sz w:val="16"/>
              <w:szCs w:val="16"/>
              <w:vertAlign w:val="superscript"/>
            </w:rPr>
            <w:tag w:val="MENDELEY_CITATION_v3_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"/>
            <w:id w:val="-6208401"/>
            <w:placeholder>
              <w:docPart w:val="DefaultPlaceholder_-1854013440"/>
            </w:placeholder>
          </w:sdtPr>
          <w:sdtContent>
            <w:tc>
              <w:tcPr>
                <w:tcW w:w="1017" w:type="dxa"/>
                <w:vAlign w:val="center"/>
              </w:tcPr>
              <w:p w14:paraId="70021E38" w14:textId="72C41818" w:rsidR="004226F9" w:rsidRPr="00A22A78" w:rsidRDefault="00033BCB" w:rsidP="004226F9">
                <w:pPr>
                  <w:pStyle w:val="RSCB02ArticleText"/>
                  <w:spacing w:line="240" w:lineRule="auto"/>
                  <w:jc w:val="left"/>
                  <w:rPr>
                    <w:rFonts w:ascii="Calibri" w:hAnsi="Calibri" w:cs="Calibri"/>
                    <w:sz w:val="16"/>
                    <w:szCs w:val="16"/>
                  </w:rPr>
                </w:pPr>
                <w:r w:rsidRPr="00033BCB">
                  <w:rPr>
                    <w:rFonts w:ascii="Calibri" w:hAnsi="Calibri" w:cs="Calibri"/>
                    <w:color w:val="000000"/>
                    <w:sz w:val="16"/>
                    <w:szCs w:val="16"/>
                    <w:vertAlign w:val="superscript"/>
                  </w:rPr>
                  <w:t>5</w:t>
                </w:r>
              </w:p>
            </w:tc>
          </w:sdtContent>
        </w:sdt>
      </w:tr>
    </w:tbl>
    <w:p w14:paraId="0B209FDB" w14:textId="77777777" w:rsidR="006A1C68" w:rsidRDefault="006A1C68">
      <w:pPr>
        <w:rPr>
          <w:lang w:val="en-US"/>
        </w:rPr>
      </w:pPr>
    </w:p>
    <w:p w14:paraId="2F81EA8D" w14:textId="21F5D519" w:rsidR="00033BCB" w:rsidRDefault="00033BCB">
      <w:pPr>
        <w:rPr>
          <w:rFonts w:ascii="Calibri" w:hAnsi="Calibri" w:cs="Calibri"/>
          <w:b/>
          <w:bCs/>
          <w:lang w:val="en-US"/>
        </w:rPr>
      </w:pPr>
      <w:r w:rsidRPr="00033BCB">
        <w:rPr>
          <w:rFonts w:ascii="Calibri" w:hAnsi="Calibri" w:cs="Calibri"/>
          <w:b/>
          <w:bCs/>
          <w:lang w:val="en-US"/>
        </w:rPr>
        <w:t>References</w:t>
      </w:r>
    </w:p>
    <w:sdt>
      <w:sdtPr>
        <w:rPr>
          <w:rFonts w:ascii="Calibri" w:hAnsi="Calibri" w:cs="Calibri"/>
          <w:color w:val="000000"/>
          <w:sz w:val="18"/>
          <w:szCs w:val="18"/>
          <w:lang w:val="en-US"/>
        </w:rPr>
        <w:tag w:val="MENDELEY_BIBLIOGRAPHY"/>
        <w:id w:val="681252111"/>
        <w:placeholder>
          <w:docPart w:val="DefaultPlaceholder_-1854013440"/>
        </w:placeholder>
      </w:sdtPr>
      <w:sdtContent>
        <w:p w14:paraId="36772943" w14:textId="77777777" w:rsidR="00033BCB" w:rsidRPr="00033BCB" w:rsidRDefault="00033BCB">
          <w:pPr>
            <w:autoSpaceDE w:val="0"/>
            <w:autoSpaceDN w:val="0"/>
            <w:ind w:hanging="640"/>
            <w:divId w:val="1663390908"/>
            <w:rPr>
              <w:rFonts w:ascii="Calibri" w:eastAsia="Times New Roman" w:hAnsi="Calibri" w:cs="Calibri"/>
              <w:color w:val="000000"/>
              <w:sz w:val="18"/>
              <w:szCs w:val="24"/>
              <w:lang w:val="en-US"/>
            </w:rPr>
          </w:pPr>
          <w:r w:rsidRPr="00033BCB">
            <w:rPr>
              <w:rFonts w:ascii="Calibri" w:eastAsia="Times New Roman" w:hAnsi="Calibri" w:cs="Calibri"/>
              <w:color w:val="000000"/>
              <w:sz w:val="18"/>
              <w:lang w:val="en-US"/>
            </w:rPr>
            <w:t>1</w:t>
          </w:r>
          <w:r w:rsidRPr="00033BCB">
            <w:rPr>
              <w:rFonts w:ascii="Calibri" w:eastAsia="Times New Roman" w:hAnsi="Calibri" w:cs="Calibri"/>
              <w:color w:val="000000"/>
              <w:sz w:val="18"/>
              <w:lang w:val="en-US"/>
            </w:rPr>
            <w:tab/>
            <w:t xml:space="preserve">Y. Huang, C.-F. Yan, C.-Q. Guo and Y. Shi, </w:t>
          </w:r>
          <w:r w:rsidRPr="00033BCB">
            <w:rPr>
              <w:rFonts w:ascii="Calibri" w:eastAsia="Times New Roman" w:hAnsi="Calibri" w:cs="Calibri"/>
              <w:i/>
              <w:iCs/>
              <w:color w:val="000000"/>
              <w:sz w:val="18"/>
              <w:lang w:val="en-US"/>
            </w:rPr>
            <w:t>Int. J. Hydrogen Energy</w:t>
          </w:r>
          <w:r w:rsidRPr="00033BCB">
            <w:rPr>
              <w:rFonts w:ascii="Calibri" w:eastAsia="Times New Roman" w:hAnsi="Calibri" w:cs="Calibri"/>
              <w:color w:val="000000"/>
              <w:sz w:val="18"/>
              <w:lang w:val="en-US"/>
            </w:rPr>
            <w:t xml:space="preserve">, 2016, </w:t>
          </w:r>
          <w:r w:rsidRPr="00033BCB">
            <w:rPr>
              <w:rFonts w:ascii="Calibri" w:eastAsia="Times New Roman" w:hAnsi="Calibri" w:cs="Calibri"/>
              <w:bCs/>
              <w:color w:val="000000"/>
              <w:sz w:val="18"/>
              <w:lang w:val="en-US"/>
            </w:rPr>
            <w:t>41</w:t>
          </w:r>
          <w:r w:rsidRPr="00033BCB">
            <w:rPr>
              <w:rFonts w:ascii="Calibri" w:eastAsia="Times New Roman" w:hAnsi="Calibri" w:cs="Calibri"/>
              <w:color w:val="000000"/>
              <w:sz w:val="18"/>
              <w:lang w:val="en-US"/>
            </w:rPr>
            <w:t>, 7919–7926.</w:t>
          </w:r>
        </w:p>
        <w:p w14:paraId="1476BDA5" w14:textId="77777777" w:rsidR="00033BCB" w:rsidRPr="00033BCB" w:rsidRDefault="00033BCB">
          <w:pPr>
            <w:autoSpaceDE w:val="0"/>
            <w:autoSpaceDN w:val="0"/>
            <w:ind w:hanging="640"/>
            <w:divId w:val="2136749518"/>
            <w:rPr>
              <w:rFonts w:ascii="Calibri" w:eastAsia="Times New Roman" w:hAnsi="Calibri" w:cs="Calibri"/>
              <w:color w:val="000000"/>
              <w:sz w:val="18"/>
              <w:lang w:val="en-US"/>
            </w:rPr>
          </w:pPr>
          <w:r w:rsidRPr="00033BCB">
            <w:rPr>
              <w:rFonts w:ascii="Calibri" w:eastAsia="Times New Roman" w:hAnsi="Calibri" w:cs="Calibri"/>
              <w:color w:val="000000"/>
              <w:sz w:val="18"/>
              <w:lang w:val="en-US"/>
            </w:rPr>
            <w:t>2</w:t>
          </w:r>
          <w:r w:rsidRPr="00033BCB">
            <w:rPr>
              <w:rFonts w:ascii="Calibri" w:eastAsia="Times New Roman" w:hAnsi="Calibri" w:cs="Calibri"/>
              <w:color w:val="000000"/>
              <w:sz w:val="18"/>
              <w:lang w:val="en-US"/>
            </w:rPr>
            <w:tab/>
            <w:t xml:space="preserve">J. Krishna Reddy, G. Suresh, C. H. Hymavathi, V. Durga Kumari and M. Subrahmanyam, </w:t>
          </w:r>
          <w:r w:rsidRPr="00033BCB">
            <w:rPr>
              <w:rFonts w:ascii="Calibri" w:eastAsia="Times New Roman" w:hAnsi="Calibri" w:cs="Calibri"/>
              <w:i/>
              <w:iCs/>
              <w:color w:val="000000"/>
              <w:sz w:val="18"/>
              <w:lang w:val="en-US"/>
            </w:rPr>
            <w:t>Catal. Today</w:t>
          </w:r>
          <w:r w:rsidRPr="00033BCB">
            <w:rPr>
              <w:rFonts w:ascii="Calibri" w:eastAsia="Times New Roman" w:hAnsi="Calibri" w:cs="Calibri"/>
              <w:color w:val="000000"/>
              <w:sz w:val="18"/>
              <w:lang w:val="en-US"/>
            </w:rPr>
            <w:t xml:space="preserve">, 2009, </w:t>
          </w:r>
          <w:r w:rsidRPr="00033BCB">
            <w:rPr>
              <w:rFonts w:ascii="Calibri" w:eastAsia="Times New Roman" w:hAnsi="Calibri" w:cs="Calibri"/>
              <w:bCs/>
              <w:color w:val="000000"/>
              <w:sz w:val="18"/>
              <w:lang w:val="en-US"/>
            </w:rPr>
            <w:t>141</w:t>
          </w:r>
          <w:r w:rsidRPr="00033BCB">
            <w:rPr>
              <w:rFonts w:ascii="Calibri" w:eastAsia="Times New Roman" w:hAnsi="Calibri" w:cs="Calibri"/>
              <w:color w:val="000000"/>
              <w:sz w:val="18"/>
              <w:lang w:val="en-US"/>
            </w:rPr>
            <w:t>, 89–93.</w:t>
          </w:r>
        </w:p>
        <w:p w14:paraId="2A560F4D" w14:textId="77777777" w:rsidR="00033BCB" w:rsidRPr="00033BCB" w:rsidRDefault="00033BCB">
          <w:pPr>
            <w:autoSpaceDE w:val="0"/>
            <w:autoSpaceDN w:val="0"/>
            <w:ind w:hanging="640"/>
            <w:divId w:val="1511607341"/>
            <w:rPr>
              <w:rFonts w:ascii="Calibri" w:eastAsia="Times New Roman" w:hAnsi="Calibri" w:cs="Calibri"/>
              <w:color w:val="000000"/>
              <w:sz w:val="18"/>
              <w:lang w:val="en-US"/>
            </w:rPr>
          </w:pPr>
          <w:r w:rsidRPr="00033BCB">
            <w:rPr>
              <w:rFonts w:ascii="Calibri" w:eastAsia="Times New Roman" w:hAnsi="Calibri" w:cs="Calibri"/>
              <w:color w:val="000000"/>
              <w:sz w:val="18"/>
              <w:lang w:val="en-US"/>
            </w:rPr>
            <w:t>3</w:t>
          </w:r>
          <w:r w:rsidRPr="00033BCB">
            <w:rPr>
              <w:rFonts w:ascii="Calibri" w:eastAsia="Times New Roman" w:hAnsi="Calibri" w:cs="Calibri"/>
              <w:color w:val="000000"/>
              <w:sz w:val="18"/>
              <w:lang w:val="en-US"/>
            </w:rPr>
            <w:tab/>
            <w:t xml:space="preserve">K.-H. Chug and D.-C. Park, </w:t>
          </w:r>
          <w:r w:rsidRPr="00033BCB">
            <w:rPr>
              <w:rFonts w:ascii="Calibri" w:eastAsia="Times New Roman" w:hAnsi="Calibri" w:cs="Calibri"/>
              <w:i/>
              <w:iCs/>
              <w:color w:val="000000"/>
              <w:sz w:val="18"/>
              <w:lang w:val="en-US"/>
            </w:rPr>
            <w:t>Catal. Today</w:t>
          </w:r>
          <w:r w:rsidRPr="00033BCB">
            <w:rPr>
              <w:rFonts w:ascii="Calibri" w:eastAsia="Times New Roman" w:hAnsi="Calibri" w:cs="Calibri"/>
              <w:color w:val="000000"/>
              <w:sz w:val="18"/>
              <w:lang w:val="en-US"/>
            </w:rPr>
            <w:t xml:space="preserve">, 1996, </w:t>
          </w:r>
          <w:r w:rsidRPr="00033BCB">
            <w:rPr>
              <w:rFonts w:ascii="Calibri" w:eastAsia="Times New Roman" w:hAnsi="Calibri" w:cs="Calibri"/>
              <w:bCs/>
              <w:color w:val="000000"/>
              <w:sz w:val="18"/>
              <w:lang w:val="en-US"/>
            </w:rPr>
            <w:t>30</w:t>
          </w:r>
          <w:r w:rsidRPr="00033BCB">
            <w:rPr>
              <w:rFonts w:ascii="Calibri" w:eastAsia="Times New Roman" w:hAnsi="Calibri" w:cs="Calibri"/>
              <w:color w:val="000000"/>
              <w:sz w:val="18"/>
              <w:lang w:val="en-US"/>
            </w:rPr>
            <w:t>, 157–162.</w:t>
          </w:r>
        </w:p>
        <w:p w14:paraId="4295C4D4" w14:textId="77777777" w:rsidR="00033BCB" w:rsidRPr="00033BCB" w:rsidRDefault="00033BCB">
          <w:pPr>
            <w:autoSpaceDE w:val="0"/>
            <w:autoSpaceDN w:val="0"/>
            <w:ind w:hanging="640"/>
            <w:divId w:val="2082095968"/>
            <w:rPr>
              <w:rFonts w:ascii="Calibri" w:eastAsia="Times New Roman" w:hAnsi="Calibri" w:cs="Calibri"/>
              <w:color w:val="000000"/>
              <w:sz w:val="18"/>
              <w:lang w:val="en-US"/>
            </w:rPr>
          </w:pPr>
          <w:r w:rsidRPr="00033BCB">
            <w:rPr>
              <w:rFonts w:ascii="Calibri" w:eastAsia="Times New Roman" w:hAnsi="Calibri" w:cs="Calibri"/>
              <w:color w:val="000000"/>
              <w:sz w:val="18"/>
              <w:lang w:val="en-US"/>
            </w:rPr>
            <w:t>4</w:t>
          </w:r>
          <w:r w:rsidRPr="00033BCB">
            <w:rPr>
              <w:rFonts w:ascii="Calibri" w:eastAsia="Times New Roman" w:hAnsi="Calibri" w:cs="Calibri"/>
              <w:color w:val="000000"/>
              <w:sz w:val="18"/>
              <w:lang w:val="en-US"/>
            </w:rPr>
            <w:tab/>
            <w:t xml:space="preserve">B. Dong, L. Li, Z. Dong, R. Xu and Y. Wu, </w:t>
          </w:r>
          <w:r w:rsidRPr="00033BCB">
            <w:rPr>
              <w:rFonts w:ascii="Calibri" w:eastAsia="Times New Roman" w:hAnsi="Calibri" w:cs="Calibri"/>
              <w:i/>
              <w:iCs/>
              <w:color w:val="000000"/>
              <w:sz w:val="18"/>
              <w:lang w:val="en-US"/>
            </w:rPr>
            <w:t>Int. J. Hydrogen Energy</w:t>
          </w:r>
          <w:r w:rsidRPr="00033BCB">
            <w:rPr>
              <w:rFonts w:ascii="Calibri" w:eastAsia="Times New Roman" w:hAnsi="Calibri" w:cs="Calibri"/>
              <w:color w:val="000000"/>
              <w:sz w:val="18"/>
              <w:lang w:val="en-US"/>
            </w:rPr>
            <w:t xml:space="preserve">, 2018, </w:t>
          </w:r>
          <w:r w:rsidRPr="00033BCB">
            <w:rPr>
              <w:rFonts w:ascii="Calibri" w:eastAsia="Times New Roman" w:hAnsi="Calibri" w:cs="Calibri"/>
              <w:bCs/>
              <w:color w:val="000000"/>
              <w:sz w:val="18"/>
              <w:lang w:val="en-US"/>
            </w:rPr>
            <w:t>43</w:t>
          </w:r>
          <w:r w:rsidRPr="00033BCB">
            <w:rPr>
              <w:rFonts w:ascii="Calibri" w:eastAsia="Times New Roman" w:hAnsi="Calibri" w:cs="Calibri"/>
              <w:color w:val="000000"/>
              <w:sz w:val="18"/>
              <w:lang w:val="en-US"/>
            </w:rPr>
            <w:t>, 5275–5282.</w:t>
          </w:r>
        </w:p>
        <w:p w14:paraId="06ACDA47" w14:textId="77777777" w:rsidR="00033BCB" w:rsidRPr="00033BCB" w:rsidRDefault="00033BCB">
          <w:pPr>
            <w:autoSpaceDE w:val="0"/>
            <w:autoSpaceDN w:val="0"/>
            <w:ind w:hanging="640"/>
            <w:divId w:val="20715171"/>
            <w:rPr>
              <w:rFonts w:ascii="Calibri" w:eastAsia="Times New Roman" w:hAnsi="Calibri" w:cs="Calibri"/>
              <w:color w:val="000000"/>
              <w:sz w:val="18"/>
            </w:rPr>
          </w:pPr>
          <w:r w:rsidRPr="00033BCB">
            <w:rPr>
              <w:rFonts w:ascii="Calibri" w:eastAsia="Times New Roman" w:hAnsi="Calibri" w:cs="Calibri"/>
              <w:color w:val="000000"/>
              <w:sz w:val="18"/>
              <w:lang w:val="en-US"/>
            </w:rPr>
            <w:t>5</w:t>
          </w:r>
          <w:r w:rsidRPr="00033BCB">
            <w:rPr>
              <w:rFonts w:ascii="Calibri" w:eastAsia="Times New Roman" w:hAnsi="Calibri" w:cs="Calibri"/>
              <w:color w:val="000000"/>
              <w:sz w:val="18"/>
              <w:lang w:val="en-US"/>
            </w:rPr>
            <w:tab/>
            <w:t xml:space="preserve">A. S. Thill, F. O. Lobato, M. O. Vaz, W. P. Fernandes, V. E. Carvalho, E. A. Soares, F. Poletto, S. R. Teixeira and F. Bernardi, </w:t>
          </w:r>
          <w:r w:rsidRPr="00033BCB">
            <w:rPr>
              <w:rFonts w:ascii="Calibri" w:eastAsia="Times New Roman" w:hAnsi="Calibri" w:cs="Calibri"/>
              <w:i/>
              <w:iCs/>
              <w:color w:val="000000"/>
              <w:sz w:val="18"/>
              <w:lang w:val="en-US"/>
            </w:rPr>
            <w:t xml:space="preserve">Appl. </w:t>
          </w:r>
          <w:r w:rsidRPr="00033BCB">
            <w:rPr>
              <w:rFonts w:ascii="Calibri" w:eastAsia="Times New Roman" w:hAnsi="Calibri" w:cs="Calibri"/>
              <w:i/>
              <w:iCs/>
              <w:color w:val="000000"/>
              <w:sz w:val="18"/>
            </w:rPr>
            <w:t>Surf. Sci.</w:t>
          </w:r>
          <w:r w:rsidRPr="00033BCB">
            <w:rPr>
              <w:rFonts w:ascii="Calibri" w:eastAsia="Times New Roman" w:hAnsi="Calibri" w:cs="Calibri"/>
              <w:color w:val="000000"/>
              <w:sz w:val="18"/>
            </w:rPr>
            <w:t xml:space="preserve">, 2020, </w:t>
          </w:r>
          <w:r w:rsidRPr="00033BCB">
            <w:rPr>
              <w:rFonts w:ascii="Calibri" w:eastAsia="Times New Roman" w:hAnsi="Calibri" w:cs="Calibri"/>
              <w:bCs/>
              <w:color w:val="000000"/>
              <w:sz w:val="18"/>
            </w:rPr>
            <w:t>528</w:t>
          </w:r>
          <w:r w:rsidRPr="00033BCB">
            <w:rPr>
              <w:rFonts w:ascii="Calibri" w:eastAsia="Times New Roman" w:hAnsi="Calibri" w:cs="Calibri"/>
              <w:color w:val="000000"/>
              <w:sz w:val="18"/>
            </w:rPr>
            <w:t>, 146860.</w:t>
          </w:r>
        </w:p>
        <w:p w14:paraId="369C70D3" w14:textId="303E806E" w:rsidR="00033BCB" w:rsidRPr="00033BCB" w:rsidRDefault="00033BCB">
          <w:pPr>
            <w:rPr>
              <w:rFonts w:ascii="Calibri" w:hAnsi="Calibri" w:cs="Calibri"/>
              <w:sz w:val="18"/>
              <w:szCs w:val="18"/>
              <w:lang w:val="en-US"/>
            </w:rPr>
          </w:pPr>
          <w:r w:rsidRPr="00033BCB">
            <w:rPr>
              <w:rFonts w:ascii="Calibri" w:eastAsia="Times New Roman" w:hAnsi="Calibri" w:cs="Calibri"/>
              <w:color w:val="000000"/>
              <w:sz w:val="18"/>
            </w:rPr>
            <w:t> </w:t>
          </w:r>
        </w:p>
      </w:sdtContent>
    </w:sdt>
    <w:sectPr w:rsidR="00033BCB" w:rsidRPr="00033B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78"/>
    <w:rsid w:val="00033BCB"/>
    <w:rsid w:val="001A2A60"/>
    <w:rsid w:val="001B4BA4"/>
    <w:rsid w:val="003A52E8"/>
    <w:rsid w:val="004226F9"/>
    <w:rsid w:val="00537110"/>
    <w:rsid w:val="006A1C68"/>
    <w:rsid w:val="009076F5"/>
    <w:rsid w:val="009819DC"/>
    <w:rsid w:val="00A22A78"/>
    <w:rsid w:val="00A43B9D"/>
    <w:rsid w:val="00CE3E75"/>
    <w:rsid w:val="00D2015D"/>
    <w:rsid w:val="00D74773"/>
    <w:rsid w:val="00DE4072"/>
    <w:rsid w:val="00FF2C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B3A8"/>
  <w15:chartTrackingRefBased/>
  <w15:docId w15:val="{7BF3AF13-6933-4D58-B02B-D9260A71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A78"/>
    <w:pPr>
      <w:spacing w:line="259" w:lineRule="auto"/>
    </w:pPr>
    <w:rPr>
      <w:kern w:val="0"/>
      <w:sz w:val="22"/>
      <w:szCs w:val="22"/>
      <w:lang w:val="es-ES_tradnl"/>
      <w14:ligatures w14:val="none"/>
    </w:rPr>
  </w:style>
  <w:style w:type="paragraph" w:styleId="Ttulo1">
    <w:name w:val="heading 1"/>
    <w:basedOn w:val="Normal"/>
    <w:next w:val="Normal"/>
    <w:link w:val="Ttulo1Car"/>
    <w:uiPriority w:val="9"/>
    <w:qFormat/>
    <w:rsid w:val="00A22A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A22A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A22A78"/>
    <w:pPr>
      <w:keepNext/>
      <w:keepLines/>
      <w:spacing w:before="160" w:after="80" w:line="278" w:lineRule="auto"/>
      <w:outlineLvl w:val="2"/>
    </w:pPr>
    <w:rPr>
      <w:rFonts w:eastAsiaTheme="majorEastAsia"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A22A78"/>
    <w:pPr>
      <w:keepNext/>
      <w:keepLines/>
      <w:spacing w:before="80" w:after="40" w:line="278" w:lineRule="auto"/>
      <w:outlineLvl w:val="3"/>
    </w:pPr>
    <w:rPr>
      <w:rFonts w:eastAsiaTheme="majorEastAsia"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A22A78"/>
    <w:pPr>
      <w:keepNext/>
      <w:keepLines/>
      <w:spacing w:before="80" w:after="40" w:line="278" w:lineRule="auto"/>
      <w:outlineLvl w:val="4"/>
    </w:pPr>
    <w:rPr>
      <w:rFonts w:eastAsiaTheme="majorEastAsia"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A22A78"/>
    <w:pPr>
      <w:keepNext/>
      <w:keepLines/>
      <w:spacing w:before="40" w:after="0" w:line="278" w:lineRule="auto"/>
      <w:outlineLvl w:val="5"/>
    </w:pPr>
    <w:rPr>
      <w:rFonts w:eastAsiaTheme="majorEastAsia"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A22A78"/>
    <w:pPr>
      <w:keepNext/>
      <w:keepLines/>
      <w:spacing w:before="40" w:after="0" w:line="278" w:lineRule="auto"/>
      <w:outlineLvl w:val="6"/>
    </w:pPr>
    <w:rPr>
      <w:rFonts w:eastAsiaTheme="majorEastAsia"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A22A78"/>
    <w:pPr>
      <w:keepNext/>
      <w:keepLines/>
      <w:spacing w:after="0" w:line="278" w:lineRule="auto"/>
      <w:outlineLvl w:val="7"/>
    </w:pPr>
    <w:rPr>
      <w:rFonts w:eastAsiaTheme="majorEastAsia"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A22A78"/>
    <w:pPr>
      <w:keepNext/>
      <w:keepLines/>
      <w:spacing w:after="0" w:line="278" w:lineRule="auto"/>
      <w:outlineLvl w:val="8"/>
    </w:pPr>
    <w:rPr>
      <w:rFonts w:eastAsiaTheme="majorEastAsia"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A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2A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2A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2A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2A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2A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2A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2A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2A78"/>
    <w:rPr>
      <w:rFonts w:eastAsiaTheme="majorEastAsia" w:cstheme="majorBidi"/>
      <w:color w:val="272727" w:themeColor="text1" w:themeTint="D8"/>
    </w:rPr>
  </w:style>
  <w:style w:type="paragraph" w:styleId="Ttulo">
    <w:name w:val="Title"/>
    <w:basedOn w:val="Normal"/>
    <w:next w:val="Normal"/>
    <w:link w:val="TtuloCar"/>
    <w:uiPriority w:val="10"/>
    <w:qFormat/>
    <w:rsid w:val="00A22A78"/>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A22A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A78"/>
    <w:pPr>
      <w:numPr>
        <w:ilvl w:val="1"/>
      </w:numPr>
      <w:spacing w:line="278" w:lineRule="auto"/>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A22A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2A78"/>
    <w:pPr>
      <w:spacing w:before="160" w:line="278" w:lineRule="auto"/>
      <w:jc w:val="center"/>
    </w:pPr>
    <w:rPr>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A22A78"/>
    <w:rPr>
      <w:i/>
      <w:iCs/>
      <w:color w:val="404040" w:themeColor="text1" w:themeTint="BF"/>
    </w:rPr>
  </w:style>
  <w:style w:type="paragraph" w:styleId="Prrafodelista">
    <w:name w:val="List Paragraph"/>
    <w:basedOn w:val="Normal"/>
    <w:uiPriority w:val="34"/>
    <w:qFormat/>
    <w:rsid w:val="00A22A78"/>
    <w:pPr>
      <w:spacing w:line="278" w:lineRule="auto"/>
      <w:ind w:left="720"/>
      <w:contextualSpacing/>
    </w:pPr>
    <w:rPr>
      <w:kern w:val="2"/>
      <w:sz w:val="24"/>
      <w:szCs w:val="24"/>
      <w:lang w:val="es-ES"/>
      <w14:ligatures w14:val="standardContextual"/>
    </w:rPr>
  </w:style>
  <w:style w:type="character" w:styleId="nfasisintenso">
    <w:name w:val="Intense Emphasis"/>
    <w:basedOn w:val="Fuentedeprrafopredeter"/>
    <w:uiPriority w:val="21"/>
    <w:qFormat/>
    <w:rsid w:val="00A22A78"/>
    <w:rPr>
      <w:i/>
      <w:iCs/>
      <w:color w:val="0F4761" w:themeColor="accent1" w:themeShade="BF"/>
    </w:rPr>
  </w:style>
  <w:style w:type="paragraph" w:styleId="Citadestacada">
    <w:name w:val="Intense Quote"/>
    <w:basedOn w:val="Normal"/>
    <w:next w:val="Normal"/>
    <w:link w:val="CitadestacadaCar"/>
    <w:uiPriority w:val="30"/>
    <w:qFormat/>
    <w:rsid w:val="00A22A7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A22A78"/>
    <w:rPr>
      <w:i/>
      <w:iCs/>
      <w:color w:val="0F4761" w:themeColor="accent1" w:themeShade="BF"/>
    </w:rPr>
  </w:style>
  <w:style w:type="character" w:styleId="Referenciaintensa">
    <w:name w:val="Intense Reference"/>
    <w:basedOn w:val="Fuentedeprrafopredeter"/>
    <w:uiPriority w:val="32"/>
    <w:qFormat/>
    <w:rsid w:val="00A22A78"/>
    <w:rPr>
      <w:b/>
      <w:bCs/>
      <w:smallCaps/>
      <w:color w:val="0F4761" w:themeColor="accent1" w:themeShade="BF"/>
      <w:spacing w:val="5"/>
    </w:rPr>
  </w:style>
  <w:style w:type="paragraph" w:customStyle="1" w:styleId="RSCB02ArticleText">
    <w:name w:val="RSC B02 Article Text"/>
    <w:basedOn w:val="Normal"/>
    <w:link w:val="RSCB02ArticleTextChar"/>
    <w:qFormat/>
    <w:rsid w:val="00A22A78"/>
    <w:pPr>
      <w:tabs>
        <w:tab w:val="left" w:pos="284"/>
      </w:tabs>
      <w:spacing w:after="0" w:line="240" w:lineRule="exact"/>
      <w:jc w:val="both"/>
    </w:pPr>
    <w:rPr>
      <w:rFonts w:cs="Times New Roman"/>
      <w:w w:val="108"/>
      <w:sz w:val="18"/>
      <w:szCs w:val="18"/>
      <w:lang w:val="en-GB"/>
    </w:rPr>
  </w:style>
  <w:style w:type="character" w:customStyle="1" w:styleId="RSCB02ArticleTextChar">
    <w:name w:val="RSC B02 Article Text Char"/>
    <w:basedOn w:val="Fuentedeprrafopredeter"/>
    <w:link w:val="RSCB02ArticleText"/>
    <w:rsid w:val="00A22A78"/>
    <w:rPr>
      <w:rFonts w:cs="Times New Roman"/>
      <w:w w:val="108"/>
      <w:kern w:val="0"/>
      <w:sz w:val="18"/>
      <w:szCs w:val="18"/>
      <w:lang w:val="en-GB"/>
      <w14:ligatures w14:val="none"/>
    </w:rPr>
  </w:style>
  <w:style w:type="table" w:styleId="Tablaconcuadrcula">
    <w:name w:val="Table Grid"/>
    <w:basedOn w:val="Tablanormal"/>
    <w:uiPriority w:val="59"/>
    <w:rsid w:val="00A22A7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A1C68"/>
    <w:rPr>
      <w:color w:val="666666"/>
    </w:rPr>
  </w:style>
  <w:style w:type="paragraph" w:customStyle="1" w:styleId="RSCI04CaptiontoFigureSchemeChart">
    <w:name w:val="RSC I04 Caption to Figure/Scheme/Chart"/>
    <w:link w:val="RSCI04CaptiontoFigureSchemeChartChar"/>
    <w:qFormat/>
    <w:rsid w:val="00DE4072"/>
    <w:pPr>
      <w:spacing w:after="200" w:line="200" w:lineRule="exact"/>
      <w:jc w:val="both"/>
    </w:pPr>
    <w:rPr>
      <w:bCs/>
      <w:kern w:val="0"/>
      <w:sz w:val="14"/>
      <w:szCs w:val="18"/>
      <w:lang w:val="en-GB"/>
      <w14:ligatures w14:val="none"/>
    </w:rPr>
  </w:style>
  <w:style w:type="character" w:customStyle="1" w:styleId="RSCI04CaptiontoFigureSchemeChartChar">
    <w:name w:val="RSC I04 Caption to Figure/Scheme/Chart Char"/>
    <w:basedOn w:val="Fuentedeprrafopredeter"/>
    <w:link w:val="RSCI04CaptiontoFigureSchemeChart"/>
    <w:rsid w:val="00DE4072"/>
    <w:rPr>
      <w:bCs/>
      <w:kern w:val="0"/>
      <w:sz w:val="14"/>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171">
      <w:marLeft w:val="640"/>
      <w:marRight w:val="0"/>
      <w:marTop w:val="0"/>
      <w:marBottom w:val="0"/>
      <w:divBdr>
        <w:top w:val="none" w:sz="0" w:space="0" w:color="auto"/>
        <w:left w:val="none" w:sz="0" w:space="0" w:color="auto"/>
        <w:bottom w:val="none" w:sz="0" w:space="0" w:color="auto"/>
        <w:right w:val="none" w:sz="0" w:space="0" w:color="auto"/>
      </w:divBdr>
    </w:div>
    <w:div w:id="1511607341">
      <w:marLeft w:val="640"/>
      <w:marRight w:val="0"/>
      <w:marTop w:val="0"/>
      <w:marBottom w:val="0"/>
      <w:divBdr>
        <w:top w:val="none" w:sz="0" w:space="0" w:color="auto"/>
        <w:left w:val="none" w:sz="0" w:space="0" w:color="auto"/>
        <w:bottom w:val="none" w:sz="0" w:space="0" w:color="auto"/>
        <w:right w:val="none" w:sz="0" w:space="0" w:color="auto"/>
      </w:divBdr>
    </w:div>
    <w:div w:id="1663390908">
      <w:marLeft w:val="640"/>
      <w:marRight w:val="0"/>
      <w:marTop w:val="0"/>
      <w:marBottom w:val="0"/>
      <w:divBdr>
        <w:top w:val="none" w:sz="0" w:space="0" w:color="auto"/>
        <w:left w:val="none" w:sz="0" w:space="0" w:color="auto"/>
        <w:bottom w:val="none" w:sz="0" w:space="0" w:color="auto"/>
        <w:right w:val="none" w:sz="0" w:space="0" w:color="auto"/>
      </w:divBdr>
    </w:div>
    <w:div w:id="2082095968">
      <w:marLeft w:val="640"/>
      <w:marRight w:val="0"/>
      <w:marTop w:val="0"/>
      <w:marBottom w:val="0"/>
      <w:divBdr>
        <w:top w:val="none" w:sz="0" w:space="0" w:color="auto"/>
        <w:left w:val="none" w:sz="0" w:space="0" w:color="auto"/>
        <w:bottom w:val="none" w:sz="0" w:space="0" w:color="auto"/>
        <w:right w:val="none" w:sz="0" w:space="0" w:color="auto"/>
      </w:divBdr>
    </w:div>
    <w:div w:id="213674951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5DD56A-02BC-411A-BC75-007C8986CB31}"/>
      </w:docPartPr>
      <w:docPartBody>
        <w:p w:rsidR="00000000" w:rsidRDefault="00671B8B">
          <w:r w:rsidRPr="004E371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8B"/>
    <w:rsid w:val="00671B8B"/>
    <w:rsid w:val="00A43B9D"/>
    <w:rsid w:val="00FA67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71B8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6B98D5-1D6E-4B8E-A8AC-308BECE020AB}">
  <we:reference id="f78a3046-9e99-4300-aa2b-5814002b01a2" version="1.55.1.0" store="EXCatalog" storeType="EXCatalog"/>
  <we:alternateReferences>
    <we:reference id="WA104382081" version="1.55.1.0" store="es-ES" storeType="OMEX"/>
  </we:alternateReferences>
  <we:properties>
    <we:property name="MENDELEY_BIBLIOGRAPHY_IS_DIRTY" value="false"/>
    <we:property name="MENDELEY_BIBLIOGRAPHY_LAST_MODIFIED" value="1768847046859"/>
    <we:property name="MENDELEY_CITATIONS" value="[{&quot;citationID&quot;:&quot;MENDELEY_CITATION_9a1859d9-ccbc-4cf0-8a98-4d43c3c5842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&quot;,&quot;citationItems&quot;:[{&quot;id&quot;:&quot;872cb857-e4b4-35c0-b3c0-66b87eaacf78&quot;,&quot;itemData&quot;:{&quot;type&quot;:&quot;article-journal&quot;,&quot;id&quot;:&quot;872cb857-e4b4-35c0-b3c0-66b87eaacf78&quot;,&quot;title&quot;:&quot;Experimental and first-principles DFT study on oxygen vacancies on cerium dioxide and its effect on enhanced photocatalytic hydrogen production&quot;,&quot;author&quot;:[{&quot;family&quot;:&quot;Huang&quot;,&quot;given&quot;:&quot;Ying&quot;,&quot;parse-names&quot;:false,&quot;dropping-particle&quot;:&quot;&quot;,&quot;non-dropping-particle&quot;:&quot;&quot;},{&quot;family&quot;:&quot;Yan&quot;,&quot;given&quot;:&quot;Chang-Feng&quot;,&quot;parse-names&quot;:false,&quot;dropping-particle&quot;:&quot;&quot;,&quot;non-dropping-particle&quot;:&quot;&quot;},{&quot;family&quot;:&quot;Guo&quot;,&quot;given&quot;:&quot;Chang-Qing&quot;,&quot;parse-names&quot;:false,&quot;dropping-particle&quot;:&quot;&quot;,&quot;non-dropping-particle&quot;:&quot;&quot;},{&quot;family&quot;:&quot;Shi&quot;,&quot;given&quot;:&quot;Yan&quot;,&quot;parse-names&quot;:false,&quot;dropping-particle&quot;:&quot;&quot;,&quot;non-dropping-particle&quot;:&quot;&quot;}],&quot;container-title&quot;:&quot;International Journal of Hydrogen Energy&quot;,&quot;container-title-short&quot;:&quot;Int. J. Hydrogen Energy&quot;,&quot;DOI&quot;:&quot;10.1016/j.ijhydene.2015.10.151&quot;,&quot;ISSN&quot;:&quot;03603199&quot;,&quot;issued&quot;:{&quot;date-parts&quot;:[[2016,5,25]]},&quot;page&quot;:&quot;7919-7926&quot;,&quot;abstract&quot;:&quot;Experimental and computational (DFT) approaches were carried out to investigate oxygen vacancies on cerium dioxide. Computational result indicates oxygen vacancies can shorten the band gap of CeO2 and enhance the absorption for visible light because Ce (III) created by generation of oxygen vacancies is easier for excitation than Ce (IV) under same irradiation. The order of calculated band gap for Ce16O31, (111) &lt; (113) &lt; (133), and the absorption data suggests that (111) plane may be the most ideal position for oxygen vacancies to enhance photocatalytic activity. The result has been tested and verified by experimental study, including UV-Vis spectra, XPS, XRD and PL. The enhanced hydrogen productions of CeO2 samples, from 34.8 μmol to 63.0 μmol, are 2.0-3.5 times as high as that of commercial CeO2 (17.8 μmol).&quot;,&quot;publisher&quot;:&quot;Elsevier Ltd&quot;,&quot;issue&quot;:&quot;19&quot;,&quot;volume&quot;:&quot;41&quot;},&quot;isTemporary&quot;:false}]},{&quot;citationID&quot;:&quot;MENDELEY_CITATION_d43fc791-cc89-4d6b-b24c-d818b431b05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&quot;,&quot;citationItems&quot;:[{&quot;id&quot;:&quot;6dbcf30c-2882-3aac-8cf6-d9f1ca677dad&quot;,&quot;itemData&quot;:{&quot;type&quot;:&quot;article-journal&quot;,&quot;id&quot;:&quot;6dbcf30c-2882-3aac-8cf6-d9f1ca677dad&quot;,&quot;title&quot;:&quot;Ce (III) species supported zeolites as novel photocatalysts for hydrogen production from water&quot;,&quot;author&quot;:[{&quot;family&quot;:&quot;Krishna Reddy&quot;,&quot;given&quot;:&quot;J.&quot;,&quot;parse-names&quot;:false,&quot;dropping-particle&quot;:&quot;&quot;,&quot;non-dropping-particle&quot;:&quot;&quot;},{&quot;family&quot;:&quot;Suresh&quot;,&quot;given&quot;:&quot;G.&quot;,&quot;parse-names&quot;:false,&quot;dropping-particle&quot;:&quot;&quot;,&quot;non-dropping-particle&quot;:&quot;&quot;},{&quot;family&quot;:&quot;Hymavathi&quot;,&quot;given&quot;:&quot;C. H.&quot;,&quot;parse-names&quot;:false,&quot;dropping-particle&quot;:&quot;&quot;,&quot;non-dropping-particle&quot;:&quot;&quot;},{&quot;family&quot;:&quot;Durga Kumari&quot;,&quot;given&quot;:&quot;V.&quot;,&quot;parse-names&quot;:false,&quot;dropping-particle&quot;:&quot;&quot;,&quot;non-dropping-particle&quot;:&quot;&quot;},{&quot;family&quot;:&quot;Subrahmanyam&quot;,&quot;given&quot;:&quot;M.&quot;,&quot;parse-names&quot;:false,&quot;dropping-particle&quot;:&quot;&quot;,&quot;non-dropping-particle&quot;:&quot;&quot;}],&quot;container-title&quot;:&quot;Catalysis Today&quot;,&quot;container-title-short&quot;:&quot;Catal. Today&quot;,&quot;DOI&quot;:&quot;10.1016/j.cattod.2008.05.012&quot;,&quot;ISSN&quot;:&quot;09205861&quot;,&quot;issued&quot;:{&quot;date-parts&quot;:[[2009,3,15]]},&quot;page&quot;:&quot;89-93&quot;,&quot;abstract&quot;:&quot;Cerium (0.3-3.2 wt.%) modified MCM-41, Al-MCM-41, HZSM-5 and HY systems were prepared by impregnation method. These catalysts were characterized by XRD, DRS and XPS techniques. DRS clearly shows a blue shift of 50 nm in the absorption edge of CeO2 at low loadings of Ce on zeolites indicating the size quantization and high dispersion of cerium particles. XPS analyses of samples containing low cerium content revealed the existence of strong interaction between zeolites and cerium wherein most of the cerium is in Ce3+ state. Photoactivity of these Ce-modified zeolite catalysts was evaluated in the photogeneration of hydrogen from water under UV irradiation. Among the catalysts prepared Ce-MCM-41 was found to be a promising photocatalyst for hydrogen production from water.&quot;,&quot;issue&quot;:&quot;1-2&quot;,&quot;volume&quot;:&quot;141&quot;},&quot;isTemporary&quot;:false}]},{&quot;citationID&quot;:&quot;MENDELEY_CITATION_9b4d94f3-5598-4915-9d95-a1e08fa3709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WI0ZDk0ZjMtNTU5OC00OTE1LTlkOTUtYTFlMDhmYTM3MDlh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quot;,&quot;citationItems&quot;:[{&quot;id&quot;:&quot;f2581b18-617f-3d85-b0b9-990348a79ca7&quot;,&quot;itemData&quot;:{&quot;type&quot;:&quot;article-journal&quot;,&quot;id&quot;:&quot;f2581b18-617f-3d85-b0b9-990348a79ca7&quot;,&quot;title&quot;:&quot;Water photolysis reaction on cerium oxide photocatalysts&quot;,&quot;author&quot;:[{&quot;family&quot;:&quot;Chug&quot;,&quot;given&quot;:&quot;Kyeong-Hwan&quot;,&quot;parse-names&quot;:false,&quot;dropping-particle&quot;:&quot;&quot;,&quot;non-dropping-particle&quot;:&quot;&quot;},{&quot;family&quot;:&quot;Park&quot;,&quot;given&quot;:&quot;Dae-Chul&quot;,&quot;parse-names&quot;:false,&quot;dropping-particle&quot;:&quot;&quot;,&quot;non-dropping-particle&quot;:&quot;&quot;}],&quot;container-title&quot;:&quot;Catalysis Today&quot;,&quot;container-title-short&quot;:&quot;Catal. Today&quot;,&quot;DOI&quot;:&quot;10.1016/0920-5861(96)00006-5&quot;,&quot;issued&quot;:{&quot;date-parts&quot;:[[1996]]},&quot;page&quot;:&quot;157-162&quot;,&quot;abstract&quot;:&quot;The photocatalytic reaction of water was studied on a cerium oxide photocatalysts system. Cerium oxide photocatalyst showed a high evolution rate of hydrogen with cesium loading. In comparison to the adsorption properties, the adsorption strength of oxygen was superior to that of hydrogen. The variation of product distribution during the water photolysis reaction was mainly influenced by the adsorption properties of hydrogen and oxygen. Metal carbonate additives to the water photolysis reaction accelerated hydrogen evolution by photodecomposition of themselves.&quot;,&quot;publisher&quot;:&quot;Kwangyang&quot;,&quot;volume&quot;:&quot;30&quot;},&quot;isTemporary&quot;:false}]},{&quot;citationID&quot;:&quot;MENDELEY_CITATION_7312b96e-fe4b-457c-998e-6bb35ad7cf0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MxMmI5NmUtZmU0Yi00NTdjLTk5OGUtNmJiMzVhZDdjZjAw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quot;,&quot;citationItems&quot;:[{&quot;id&quot;:&quot;f2581b18-617f-3d85-b0b9-990348a79ca7&quot;,&quot;itemData&quot;:{&quot;type&quot;:&quot;article-journal&quot;,&quot;id&quot;:&quot;f2581b18-617f-3d85-b0b9-990348a79ca7&quot;,&quot;title&quot;:&quot;Water photolysis reaction on cerium oxide photocatalysts&quot;,&quot;author&quot;:[{&quot;family&quot;:&quot;Chug&quot;,&quot;given&quot;:&quot;Kyeong-Hwan&quot;,&quot;parse-names&quot;:false,&quot;dropping-particle&quot;:&quot;&quot;,&quot;non-dropping-particle&quot;:&quot;&quot;},{&quot;family&quot;:&quot;Park&quot;,&quot;given&quot;:&quot;Dae-Chul&quot;,&quot;parse-names&quot;:false,&quot;dropping-particle&quot;:&quot;&quot;,&quot;non-dropping-particle&quot;:&quot;&quot;}],&quot;container-title&quot;:&quot;Catalysis Today&quot;,&quot;container-title-short&quot;:&quot;Catal. Today&quot;,&quot;DOI&quot;:&quot;10.1016/0920-5861(96)00006-5&quot;,&quot;issued&quot;:{&quot;date-parts&quot;:[[1996]]},&quot;page&quot;:&quot;157-162&quot;,&quot;abstract&quot;:&quot;The photocatalytic reaction of water was studied on a cerium oxide photocatalysts system. Cerium oxide photocatalyst showed a high evolution rate of hydrogen with cesium loading. In comparison to the adsorption properties, the adsorption strength of oxygen was superior to that of hydrogen. The variation of product distribution during the water photolysis reaction was mainly influenced by the adsorption properties of hydrogen and oxygen. Metal carbonate additives to the water photolysis reaction accelerated hydrogen evolution by photodecomposition of themselves.&quot;,&quot;publisher&quot;:&quot;Kwangyang&quot;,&quot;volume&quot;:&quot;30&quot;},&quot;isTemporary&quot;:false}]},{&quot;citationID&quot;:&quot;MENDELEY_CITATION_3cc6e149-4f71-4f35-b89b-ff21c59ede2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NjNmUxNDktNGY3MS00ZjM1LWI4OWItZmYyMWM1OWVkZTJl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quot;,&quot;citationItems&quot;:[{&quot;id&quot;:&quot;f2581b18-617f-3d85-b0b9-990348a79ca7&quot;,&quot;itemData&quot;:{&quot;type&quot;:&quot;article-journal&quot;,&quot;id&quot;:&quot;f2581b18-617f-3d85-b0b9-990348a79ca7&quot;,&quot;title&quot;:&quot;Water photolysis reaction on cerium oxide photocatalysts&quot;,&quot;author&quot;:[{&quot;family&quot;:&quot;Chug&quot;,&quot;given&quot;:&quot;Kyeong-Hwan&quot;,&quot;parse-names&quot;:false,&quot;dropping-particle&quot;:&quot;&quot;,&quot;non-dropping-particle&quot;:&quot;&quot;},{&quot;family&quot;:&quot;Park&quot;,&quot;given&quot;:&quot;Dae-Chul&quot;,&quot;parse-names&quot;:false,&quot;dropping-particle&quot;:&quot;&quot;,&quot;non-dropping-particle&quot;:&quot;&quot;}],&quot;container-title&quot;:&quot;Catalysis Today&quot;,&quot;container-title-short&quot;:&quot;Catal. Today&quot;,&quot;DOI&quot;:&quot;10.1016/0920-5861(96)00006-5&quot;,&quot;issued&quot;:{&quot;date-parts&quot;:[[1996]]},&quot;page&quot;:&quot;157-162&quot;,&quot;abstract&quot;:&quot;The photocatalytic reaction of water was studied on a cerium oxide photocatalysts system. Cerium oxide photocatalyst showed a high evolution rate of hydrogen with cesium loading. In comparison to the adsorption properties, the adsorption strength of oxygen was superior to that of hydrogen. The variation of product distribution during the water photolysis reaction was mainly influenced by the adsorption properties of hydrogen and oxygen. Metal carbonate additives to the water photolysis reaction accelerated hydrogen evolution by photodecomposition of themselves.&quot;,&quot;publisher&quot;:&quot;Kwangyang&quot;,&quot;volume&quot;:&quot;30&quot;},&quot;isTemporary&quot;:false}]},{&quot;citationID&quot;:&quot;MENDELEY_CITATION_206f3f1b-b6d7-457e-9c24-9b60e99e7cd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&quot;,&quot;citationItems&quot;:[{&quot;id&quot;:&quot;f2581b18-617f-3d85-b0b9-990348a79ca7&quot;,&quot;itemData&quot;:{&quot;type&quot;:&quot;article-journal&quot;,&quot;id&quot;:&quot;f2581b18-617f-3d85-b0b9-990348a79ca7&quot;,&quot;title&quot;:&quot;Water photolysis reaction on cerium oxide photocatalysts&quot;,&quot;author&quot;:[{&quot;family&quot;:&quot;Chug&quot;,&quot;given&quot;:&quot;Kyeong-Hwan&quot;,&quot;parse-names&quot;:false,&quot;dropping-particle&quot;:&quot;&quot;,&quot;non-dropping-particle&quot;:&quot;&quot;},{&quot;family&quot;:&quot;Park&quot;,&quot;given&quot;:&quot;Dae-Chul&quot;,&quot;parse-names&quot;:false,&quot;dropping-particle&quot;:&quot;&quot;,&quot;non-dropping-particle&quot;:&quot;&quot;}],&quot;container-title&quot;:&quot;Catalysis Today&quot;,&quot;container-title-short&quot;:&quot;Catal. Today&quot;,&quot;DOI&quot;:&quot;10.1016/0920-5861(96)00006-5&quot;,&quot;issued&quot;:{&quot;date-parts&quot;:[[1996]]},&quot;page&quot;:&quot;157-162&quot;,&quot;abstract&quot;:&quot;The photocatalytic reaction of water was studied on a cerium oxide photocatalysts system. Cerium oxide photocatalyst showed a high evolution rate of hydrogen with cesium loading. In comparison to the adsorption properties, the adsorption strength of oxygen was superior to that of hydrogen. The variation of product distribution during the water photolysis reaction was mainly influenced by the adsorption properties of hydrogen and oxygen. Metal carbonate additives to the water photolysis reaction accelerated hydrogen evolution by photodecomposition of themselves.&quot;,&quot;publisher&quot;:&quot;Kwangyang&quot;,&quot;volume&quot;:&quot;30&quot;},&quot;isTemporary&quot;:false}]},{&quot;citationID&quot;:&quot;MENDELEY_CITATION_7a9ca752-ec2c-46cb-b5a2-67e0ebd42d9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&quot;,&quot;citationItems&quot;:[{&quot;id&quot;:&quot;169df49e-6c62-35f0-a3a0-a42bfeb097dc&quot;,&quot;itemData&quot;:{&quot;type&quot;:&quot;article-journal&quot;,&quot;id&quot;:&quot;169df49e-6c62-35f0-a3a0-a42bfeb097dc&quot;,&quot;title&quot;:&quot;Fabrication of CeO2 nanorods for enhanced solar photocatalysts&quot;,&quot;author&quot;:[{&quot;family&quot;:&quot;Dong&quot;,&quot;given&quot;:&quot;Bao&quot;,&quot;parse-names&quot;:false,&quot;dropping-particle&quot;:&quot;&quot;,&quot;non-dropping-particle&quot;:&quot;&quot;},{&quot;family&quot;:&quot;Li&quot;,&quot;given&quot;:&quot;Lingyao&quot;,&quot;parse-names&quot;:false,&quot;dropping-particle&quot;:&quot;&quot;,&quot;non-dropping-particle&quot;:&quot;&quot;},{&quot;family&quot;:&quot;Dong&quot;,&quot;given&quot;:&quot;Zhifang&quot;,&quot;parse-names&quot;:false,&quot;dropping-particle&quot;:&quot;&quot;,&quot;non-dropping-particle&quot;:&quot;&quot;},{&quot;family&quot;:&quot;Xu&quot;,&quot;given&quot;:&quot;Rong&quot;,&quot;parse-names&quot;:false,&quot;dropping-particle&quot;:&quot;&quot;,&quot;non-dropping-particle&quot;:&quot;&quot;},{&quot;family&quot;:&quot;Wu&quot;,&quot;given&quot;:&quot;Yan&quot;,&quot;parse-names&quot;:false,&quot;dropping-particle&quot;:&quot;&quot;,&quot;non-dropping-particle&quot;:&quot;&quot;}],&quot;container-title&quot;:&quot;International Journal of Hydrogen Energy&quot;,&quot;container-title-short&quot;:&quot;Int. J. Hydrogen Energy&quot;,&quot;DOI&quot;:&quot;10.1016/j.ijhydene.2017.10.061&quot;,&quot;ISSN&quot;:&quot;03603199&quot;,&quot;issued&quot;:{&quot;date-parts&quot;:[[2018,3,8]]},&quot;page&quot;:&quot;5275-5282&quot;,&quot;abstract&quot;:&quot;In this work, CeO2 NRs were synthesized by a hydrothermal approach and their microstructures were controlled by modifying the concentration of the hydroxide ions. The as-synthesized CeO2 NRs appeared highly crystallized with a cubic structure, while their lengths increased from ∼20 to 50 nm as the concentration of the hydroxide ions increased. By tuning their surface properties, the CeO2 NR samples exhibited favorable band structures, which enabled them to effectively absorb large amount of photon energies and enhance the photocatalytic properties. The optimum CeO2 sample showed the highest H2 production rate (∼25.10 μmol/g after solarlight irradiation for 5 h), largest Brunauer-Emmett-Teller specific surface area (65.26 m2/g), smallest pore size (7.0 nm), and largest amount of oxygen vacancies. The photocatalytic H2 evolution properties were attributed to the preferred planes of the CeO2 NRs and the redox capacity of CeO2. The photocatalytic process is mainly related to the conversion of Ce3+/Ce4+ cycle of CeO2, and the redox capability of CeO2 is related to the amount of its oxygen vacancies.&quot;,&quot;publisher&quot;:&quot;Elsevier Ltd&quot;,&quot;issue&quot;:&quot;10&quot;,&quot;volume&quot;:&quot;43&quot;},&quot;isTemporary&quot;:false}]},{&quot;citationID&quot;:&quot;MENDELEY_CITATION_004d4d59-061d-4445-a662-72c89e08050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&quot;,&quot;citationItems&quot;:[{&quot;id&quot;:&quot;264ce048-f59a-3e17-bb25-1b204c6484e2&quot;,&quot;itemData&quot;:{&quot;type&quot;:&quot;article-journal&quot;,&quot;id&quot;:&quot;264ce048-f59a-3e17-bb25-1b204c6484e2&quot;,&quot;title&quot;:&quot;Shifting the band gap from UV to visible region in cerium oxide nanoparticles&quot;,&quot;author&quot;:[{&quot;family&quot;:&quot;Thill&quot;,&quot;given&quot;:&quot;Alisson S.&quot;,&quot;parse-names&quot;:false,&quot;dropping-particle&quot;:&quot;&quot;,&quot;non-dropping-particle&quot;:&quot;&quot;},{&quot;family&quot;:&quot;Lobato&quot;,&quot;given&quot;:&quot;Francielli O.&quot;,&quot;parse-names&quot;:false,&quot;dropping-particle&quot;:&quot;&quot;,&quot;non-dropping-particle&quot;:&quot;&quot;},{&quot;family&quot;:&quot;Vaz&quot;,&quot;given&quot;:&quot;Mauricio O.&quot;,&quot;parse-names&quot;:false,&quot;dropping-particle&quot;:&quot;&quot;,&quot;non-dropping-particle&quot;:&quot;&quot;},{&quot;family&quot;:&quot;Fernandes&quot;,&quot;given&quot;:&quot;Willians P.&quot;,&quot;parse-names&quot;:false,&quot;dropping-particle&quot;:&quot;&quot;,&quot;non-dropping-particle&quot;:&quot;&quot;},{&quot;family&quot;:&quot;Carvalho&quot;,&quot;given&quot;:&quot;Vágner E.&quot;,&quot;parse-names&quot;:false,&quot;dropping-particle&quot;:&quot;&quot;,&quot;non-dropping-particle&quot;:&quot;&quot;},{&quot;family&quot;:&quot;Soares&quot;,&quot;given&quot;:&quot;Edmar A.&quot;,&quot;parse-names&quot;:false,&quot;dropping-particle&quot;:&quot;&quot;,&quot;non-dropping-particle&quot;:&quot;&quot;},{&quot;family&quot;:&quot;Poletto&quot;,&quot;given&quot;:&quot;Fernanda&quot;,&quot;parse-names&quot;:false,&quot;dropping-particle&quot;:&quot;&quot;,&quot;non-dropping-particle&quot;:&quot;&quot;},{&quot;family&quot;:&quot;Teixeira&quot;,&quot;given&quot;:&quot;Sérgio R.&quot;,&quot;parse-names&quot;:false,&quot;dropping-particle&quot;:&quot;&quot;,&quot;non-dropping-particle&quot;:&quot;&quot;},{&quot;family&quot;:&quot;Bernardi&quot;,&quot;given&quot;:&quot;Fabiano&quot;,&quot;parse-names&quot;:false,&quot;dropping-particle&quot;:&quot;&quot;,&quot;non-dropping-particle&quot;:&quot;&quot;}],&quot;container-title&quot;:&quot;Applied Surface Science&quot;,&quot;container-title-short&quot;:&quot;Appl. Surf. Sci.&quot;,&quot;DOI&quot;:&quot;10.1016/j.apsusc.2020.146860&quot;,&quot;ISSN&quot;:&quot;01694332&quot;,&quot;issued&quot;:{&quot;date-parts&quot;:[[2020,10,30]]},&quot;page&quot;:&quot;146860&quot;,&quot;abstract&quot;:&quot;High surface area cerium oxide (CeO2-x) nanoparticles (S = 170 m2/g) were synthesized by the precipitation method with a narrow band gap (2.73 ± 0.03 eV). In comparison to typical band gap values for cerium oxide, it presents a red shift in the light absorption spectrum from UV to visible region. X-ray Diffraction (XRD), Fourier Transform Infrared Spectroscopy (FTIR), X-ray Absorption Spectroscopy (XAS), X-ray Photoelectron Spectroscopy (XPS) and Ultraviolet Photoelectron Spectroscopy (UPS) measurements were conducted aiming to elucidate this promising property for photocatalytic applications of the nanoparticles synthesized. It was obtained that the high structural disorder and O vacancy population of the nanoparticles synthesized are responsible for the narrow band gap found. Furthermore, the CeO2-x nanoparticles were applied to the photocatalytic H2 production reaction and presented activity 10 times higher than the commercial CeO2-x standard, besides a much better performance than typical results found for CeO2-x in the literature.&quot;,&quot;publisher&quot;:&quot;Elsevier B.V.&quot;,&quot;volume&quot;:&quot;528&quot;},&quot;isTemporary&quot;:false}]}]"/>
    <we:property name="MENDELEY_CITATIONS_LOCALE_CODE" value="&quot;en-GB&quot;"/>
    <we:property name="MENDELEY_CITATIONS_STYLE" value="{&quot;id&quot;:&quot;https://www.zotero.org/styles/dalton-transactions&quot;,&quot;title&quot;:&quot;Dalton Transac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D4F9F-ABB0-4C4B-A10F-7F1A5B1D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BOGEAT BARROSO</dc:creator>
  <cp:keywords/>
  <dc:description/>
  <cp:lastModifiedBy>ADRIÁN BOGEAT BARROSO</cp:lastModifiedBy>
  <cp:revision>8</cp:revision>
  <dcterms:created xsi:type="dcterms:W3CDTF">2026-01-18T16:47:00Z</dcterms:created>
  <dcterms:modified xsi:type="dcterms:W3CDTF">2026-01-19T18:29:00Z</dcterms:modified>
</cp:coreProperties>
</file>